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959C" w14:textId="41C89706" w:rsidR="00145772" w:rsidRPr="005A31D7" w:rsidRDefault="00145772" w:rsidP="00145772">
      <w:pPr>
        <w:spacing w:line="480" w:lineRule="auto"/>
        <w:jc w:val="center"/>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Apéndice H. Panorama global y local del análisis de patentes en tecnologías de salud</w:t>
      </w:r>
    </w:p>
    <w:p w14:paraId="3A1640B1" w14:textId="7C2D6399" w:rsidR="008101D4" w:rsidRPr="005A31D7" w:rsidRDefault="008101D4" w:rsidP="00051F70">
      <w:pPr>
        <w:pStyle w:val="Descripcin"/>
        <w:keepNext/>
        <w:spacing w:line="360" w:lineRule="auto"/>
        <w:rPr>
          <w:rFonts w:ascii="Times New Roman" w:hAnsi="Times New Roman" w:cs="Times New Roman"/>
          <w:b/>
          <w:bCs/>
          <w:i w:val="0"/>
          <w:iCs w:val="0"/>
          <w:color w:val="auto"/>
          <w:sz w:val="24"/>
          <w:szCs w:val="24"/>
          <w:lang w:val="es-CO"/>
        </w:rPr>
      </w:pPr>
    </w:p>
    <w:sdt>
      <w:sdtPr>
        <w:rPr>
          <w:rFonts w:ascii="Times New Roman" w:eastAsiaTheme="minorHAnsi" w:hAnsi="Times New Roman" w:cs="Times New Roman"/>
          <w:color w:val="auto"/>
          <w:kern w:val="2"/>
          <w:sz w:val="24"/>
          <w:szCs w:val="24"/>
          <w:lang w:val="es-ES"/>
          <w14:ligatures w14:val="standardContextual"/>
        </w:rPr>
        <w:id w:val="-104499854"/>
        <w:docPartObj>
          <w:docPartGallery w:val="Table of Contents"/>
          <w:docPartUnique/>
        </w:docPartObj>
      </w:sdtPr>
      <w:sdtEndPr>
        <w:rPr>
          <w:b/>
          <w:bCs/>
        </w:rPr>
      </w:sdtEndPr>
      <w:sdtContent>
        <w:p w14:paraId="09A9CB76" w14:textId="599C1B7A" w:rsidR="00C2619C" w:rsidRPr="0086213A" w:rsidRDefault="00C2619C" w:rsidP="0086213A">
          <w:pPr>
            <w:pStyle w:val="TtuloTDC"/>
            <w:spacing w:line="360" w:lineRule="auto"/>
            <w:jc w:val="center"/>
            <w:rPr>
              <w:rFonts w:ascii="Times New Roman" w:hAnsi="Times New Roman" w:cs="Times New Roman"/>
              <w:color w:val="auto"/>
              <w:sz w:val="24"/>
              <w:szCs w:val="24"/>
            </w:rPr>
          </w:pPr>
          <w:r w:rsidRPr="005A31D7">
            <w:rPr>
              <w:rFonts w:ascii="Times New Roman" w:hAnsi="Times New Roman" w:cs="Times New Roman"/>
              <w:b/>
              <w:bCs/>
              <w:color w:val="auto"/>
              <w:sz w:val="24"/>
              <w:szCs w:val="24"/>
              <w:lang w:val="es-ES"/>
            </w:rPr>
            <w:t>Tabla de contenido</w:t>
          </w:r>
          <w:r w:rsidRPr="005A31D7">
            <w:rPr>
              <w:rFonts w:ascii="Times New Roman" w:hAnsi="Times New Roman" w:cs="Times New Roman"/>
              <w:color w:val="auto"/>
              <w:sz w:val="24"/>
              <w:szCs w:val="24"/>
              <w:lang w:val="es-ES"/>
            </w:rPr>
            <w:br/>
          </w:r>
        </w:p>
        <w:p w14:paraId="1A360255" w14:textId="74DFC930" w:rsidR="0086213A" w:rsidRPr="0086213A" w:rsidRDefault="00C2619C"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r w:rsidRPr="0086213A">
            <w:rPr>
              <w:rFonts w:ascii="Times New Roman" w:hAnsi="Times New Roman" w:cs="Times New Roman"/>
              <w:sz w:val="24"/>
              <w:szCs w:val="24"/>
            </w:rPr>
            <w:fldChar w:fldCharType="begin"/>
          </w:r>
          <w:r w:rsidRPr="0086213A">
            <w:rPr>
              <w:rFonts w:ascii="Times New Roman" w:hAnsi="Times New Roman" w:cs="Times New Roman"/>
              <w:sz w:val="24"/>
              <w:szCs w:val="24"/>
            </w:rPr>
            <w:instrText xml:space="preserve"> TOC \o "1-3" \h \z \u </w:instrText>
          </w:r>
          <w:r w:rsidRPr="0086213A">
            <w:rPr>
              <w:rFonts w:ascii="Times New Roman" w:hAnsi="Times New Roman" w:cs="Times New Roman"/>
              <w:sz w:val="24"/>
              <w:szCs w:val="24"/>
            </w:rPr>
            <w:fldChar w:fldCharType="separate"/>
          </w:r>
          <w:hyperlink w:anchor="_Toc204730251" w:history="1">
            <w:r w:rsidR="0086213A" w:rsidRPr="0086213A">
              <w:rPr>
                <w:rStyle w:val="Hipervnculo"/>
                <w:rFonts w:ascii="Times New Roman" w:hAnsi="Times New Roman" w:cs="Times New Roman"/>
                <w:noProof/>
                <w:sz w:val="24"/>
                <w:szCs w:val="24"/>
                <w:lang w:val="es-CO"/>
              </w:rPr>
              <w:t>1.</w:t>
            </w:r>
            <w:r w:rsidR="0086213A" w:rsidRPr="0086213A">
              <w:rPr>
                <w:rFonts w:ascii="Times New Roman" w:eastAsiaTheme="minorEastAsia" w:hAnsi="Times New Roman" w:cs="Times New Roman"/>
                <w:noProof/>
                <w:kern w:val="0"/>
                <w:sz w:val="24"/>
                <w:szCs w:val="24"/>
                <w14:ligatures w14:val="none"/>
              </w:rPr>
              <w:tab/>
            </w:r>
            <w:r w:rsidR="0086213A" w:rsidRPr="0086213A">
              <w:rPr>
                <w:rStyle w:val="Hipervnculo"/>
                <w:rFonts w:ascii="Times New Roman" w:hAnsi="Times New Roman" w:cs="Times New Roman"/>
                <w:noProof/>
                <w:sz w:val="24"/>
                <w:szCs w:val="24"/>
                <w:lang w:val="es-CO"/>
              </w:rPr>
              <w:t>Análisis global del patentamiento en salud</w:t>
            </w:r>
            <w:r w:rsidR="0086213A" w:rsidRPr="0086213A">
              <w:rPr>
                <w:rFonts w:ascii="Times New Roman" w:hAnsi="Times New Roman" w:cs="Times New Roman"/>
                <w:noProof/>
                <w:webHidden/>
                <w:sz w:val="24"/>
                <w:szCs w:val="24"/>
              </w:rPr>
              <w:tab/>
            </w:r>
            <w:r w:rsidR="0086213A" w:rsidRPr="0086213A">
              <w:rPr>
                <w:rFonts w:ascii="Times New Roman" w:hAnsi="Times New Roman" w:cs="Times New Roman"/>
                <w:noProof/>
                <w:webHidden/>
                <w:sz w:val="24"/>
                <w:szCs w:val="24"/>
              </w:rPr>
              <w:fldChar w:fldCharType="begin"/>
            </w:r>
            <w:r w:rsidR="0086213A" w:rsidRPr="0086213A">
              <w:rPr>
                <w:rFonts w:ascii="Times New Roman" w:hAnsi="Times New Roman" w:cs="Times New Roman"/>
                <w:noProof/>
                <w:webHidden/>
                <w:sz w:val="24"/>
                <w:szCs w:val="24"/>
              </w:rPr>
              <w:instrText xml:space="preserve"> PAGEREF _Toc204730251 \h </w:instrText>
            </w:r>
            <w:r w:rsidR="0086213A" w:rsidRPr="0086213A">
              <w:rPr>
                <w:rFonts w:ascii="Times New Roman" w:hAnsi="Times New Roman" w:cs="Times New Roman"/>
                <w:noProof/>
                <w:webHidden/>
                <w:sz w:val="24"/>
                <w:szCs w:val="24"/>
              </w:rPr>
            </w:r>
            <w:r w:rsidR="0086213A" w:rsidRPr="0086213A">
              <w:rPr>
                <w:rFonts w:ascii="Times New Roman" w:hAnsi="Times New Roman" w:cs="Times New Roman"/>
                <w:noProof/>
                <w:webHidden/>
                <w:sz w:val="24"/>
                <w:szCs w:val="24"/>
              </w:rPr>
              <w:fldChar w:fldCharType="separate"/>
            </w:r>
            <w:r w:rsidR="0086213A" w:rsidRPr="0086213A">
              <w:rPr>
                <w:rFonts w:ascii="Times New Roman" w:hAnsi="Times New Roman" w:cs="Times New Roman"/>
                <w:noProof/>
                <w:webHidden/>
                <w:sz w:val="24"/>
                <w:szCs w:val="24"/>
              </w:rPr>
              <w:t>2</w:t>
            </w:r>
            <w:r w:rsidR="0086213A" w:rsidRPr="0086213A">
              <w:rPr>
                <w:rFonts w:ascii="Times New Roman" w:hAnsi="Times New Roman" w:cs="Times New Roman"/>
                <w:noProof/>
                <w:webHidden/>
                <w:sz w:val="24"/>
                <w:szCs w:val="24"/>
              </w:rPr>
              <w:fldChar w:fldCharType="end"/>
            </w:r>
          </w:hyperlink>
        </w:p>
        <w:p w14:paraId="250430CD" w14:textId="6D46ECD8" w:rsidR="0086213A" w:rsidRPr="0086213A" w:rsidRDefault="0086213A"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2" w:history="1">
            <w:r w:rsidRPr="0086213A">
              <w:rPr>
                <w:rStyle w:val="Hipervnculo"/>
                <w:rFonts w:ascii="Times New Roman" w:hAnsi="Times New Roman" w:cs="Times New Roman"/>
                <w:noProof/>
                <w:sz w:val="24"/>
                <w:szCs w:val="24"/>
                <w:lang w:val="es-CO"/>
              </w:rPr>
              <w:t>2.</w:t>
            </w:r>
            <w:r w:rsidRPr="0086213A">
              <w:rPr>
                <w:rFonts w:ascii="Times New Roman" w:eastAsiaTheme="minorEastAsia" w:hAnsi="Times New Roman" w:cs="Times New Roman"/>
                <w:noProof/>
                <w:kern w:val="0"/>
                <w:sz w:val="24"/>
                <w:szCs w:val="24"/>
                <w14:ligatures w14:val="none"/>
              </w:rPr>
              <w:tab/>
            </w:r>
            <w:r w:rsidRPr="0086213A">
              <w:rPr>
                <w:rStyle w:val="Hipervnculo"/>
                <w:rFonts w:ascii="Times New Roman" w:hAnsi="Times New Roman" w:cs="Times New Roman"/>
                <w:noProof/>
                <w:sz w:val="24"/>
                <w:szCs w:val="24"/>
                <w:lang w:val="es-CO"/>
              </w:rPr>
              <w:t>Análisis de solicitudes de patentes en Colombia</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_Toc204730252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4</w:t>
            </w:r>
            <w:r w:rsidRPr="0086213A">
              <w:rPr>
                <w:rFonts w:ascii="Times New Roman" w:hAnsi="Times New Roman" w:cs="Times New Roman"/>
                <w:noProof/>
                <w:webHidden/>
                <w:sz w:val="24"/>
                <w:szCs w:val="24"/>
              </w:rPr>
              <w:fldChar w:fldCharType="end"/>
            </w:r>
          </w:hyperlink>
        </w:p>
        <w:p w14:paraId="2CD0EB9C" w14:textId="65E46EC1" w:rsidR="0086213A" w:rsidRPr="0086213A" w:rsidRDefault="0086213A"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3" w:history="1">
            <w:r w:rsidRPr="0086213A">
              <w:rPr>
                <w:rStyle w:val="Hipervnculo"/>
                <w:rFonts w:ascii="Times New Roman" w:hAnsi="Times New Roman" w:cs="Times New Roman"/>
                <w:noProof/>
                <w:sz w:val="24"/>
                <w:szCs w:val="24"/>
                <w:lang w:val="es-CO"/>
              </w:rPr>
              <w:t>3.</w:t>
            </w:r>
            <w:r w:rsidRPr="0086213A">
              <w:rPr>
                <w:rFonts w:ascii="Times New Roman" w:eastAsiaTheme="minorEastAsia" w:hAnsi="Times New Roman" w:cs="Times New Roman"/>
                <w:noProof/>
                <w:kern w:val="0"/>
                <w:sz w:val="24"/>
                <w:szCs w:val="24"/>
                <w14:ligatures w14:val="none"/>
              </w:rPr>
              <w:tab/>
            </w:r>
            <w:r w:rsidRPr="0086213A">
              <w:rPr>
                <w:rStyle w:val="Hipervnculo"/>
                <w:rFonts w:ascii="Times New Roman" w:hAnsi="Times New Roman" w:cs="Times New Roman"/>
                <w:noProof/>
                <w:sz w:val="24"/>
                <w:szCs w:val="24"/>
                <w:lang w:val="es-CO"/>
              </w:rPr>
              <w:t>Análisis de solicitudes de patentes en el área de Tecnología Médica</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_Toc204730253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10</w:t>
            </w:r>
            <w:r w:rsidRPr="0086213A">
              <w:rPr>
                <w:rFonts w:ascii="Times New Roman" w:hAnsi="Times New Roman" w:cs="Times New Roman"/>
                <w:noProof/>
                <w:webHidden/>
                <w:sz w:val="24"/>
                <w:szCs w:val="24"/>
              </w:rPr>
              <w:fldChar w:fldCharType="end"/>
            </w:r>
          </w:hyperlink>
        </w:p>
        <w:p w14:paraId="65EB8FEB" w14:textId="1A575F48" w:rsidR="0086213A" w:rsidRPr="0086213A" w:rsidRDefault="0086213A"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4" w:history="1">
            <w:r w:rsidRPr="0086213A">
              <w:rPr>
                <w:rStyle w:val="Hipervnculo"/>
                <w:rFonts w:ascii="Times New Roman" w:hAnsi="Times New Roman" w:cs="Times New Roman"/>
                <w:noProof/>
                <w:sz w:val="24"/>
                <w:szCs w:val="24"/>
                <w:lang w:val="es-CO"/>
              </w:rPr>
              <w:t>4.</w:t>
            </w:r>
            <w:r w:rsidRPr="0086213A">
              <w:rPr>
                <w:rFonts w:ascii="Times New Roman" w:eastAsiaTheme="minorEastAsia" w:hAnsi="Times New Roman" w:cs="Times New Roman"/>
                <w:noProof/>
                <w:kern w:val="0"/>
                <w:sz w:val="24"/>
                <w:szCs w:val="24"/>
                <w14:ligatures w14:val="none"/>
              </w:rPr>
              <w:tab/>
            </w:r>
            <w:r w:rsidRPr="0086213A">
              <w:rPr>
                <w:rStyle w:val="Hipervnculo"/>
                <w:rFonts w:ascii="Times New Roman" w:hAnsi="Times New Roman" w:cs="Times New Roman"/>
                <w:noProof/>
                <w:sz w:val="24"/>
                <w:szCs w:val="24"/>
                <w:lang w:val="es-CO"/>
              </w:rPr>
              <w:t>Análisis de solicitudes de patentes en el área de Productos Farmacéuticos</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_Toc204730254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13</w:t>
            </w:r>
            <w:r w:rsidRPr="0086213A">
              <w:rPr>
                <w:rFonts w:ascii="Times New Roman" w:hAnsi="Times New Roman" w:cs="Times New Roman"/>
                <w:noProof/>
                <w:webHidden/>
                <w:sz w:val="24"/>
                <w:szCs w:val="24"/>
              </w:rPr>
              <w:fldChar w:fldCharType="end"/>
            </w:r>
          </w:hyperlink>
        </w:p>
        <w:p w14:paraId="18FD18D1" w14:textId="244FBC19" w:rsidR="0086213A" w:rsidRPr="0086213A" w:rsidRDefault="0086213A"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5" w:history="1">
            <w:r w:rsidRPr="0086213A">
              <w:rPr>
                <w:rStyle w:val="Hipervnculo"/>
                <w:rFonts w:ascii="Times New Roman" w:hAnsi="Times New Roman" w:cs="Times New Roman"/>
                <w:noProof/>
                <w:sz w:val="24"/>
                <w:szCs w:val="24"/>
                <w:lang w:val="es-CO"/>
              </w:rPr>
              <w:t>5.</w:t>
            </w:r>
            <w:r w:rsidRPr="0086213A">
              <w:rPr>
                <w:rFonts w:ascii="Times New Roman" w:eastAsiaTheme="minorEastAsia" w:hAnsi="Times New Roman" w:cs="Times New Roman"/>
                <w:noProof/>
                <w:kern w:val="0"/>
                <w:sz w:val="24"/>
                <w:szCs w:val="24"/>
                <w14:ligatures w14:val="none"/>
              </w:rPr>
              <w:tab/>
            </w:r>
            <w:r w:rsidRPr="0086213A">
              <w:rPr>
                <w:rStyle w:val="Hipervnculo"/>
                <w:rFonts w:ascii="Times New Roman" w:hAnsi="Times New Roman" w:cs="Times New Roman"/>
                <w:noProof/>
                <w:sz w:val="24"/>
                <w:szCs w:val="24"/>
                <w:lang w:val="es-CO"/>
              </w:rPr>
              <w:t>Análisis de solicitudes de patentes en el área de Biotecnología</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_Toc204730255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17</w:t>
            </w:r>
            <w:r w:rsidRPr="0086213A">
              <w:rPr>
                <w:rFonts w:ascii="Times New Roman" w:hAnsi="Times New Roman" w:cs="Times New Roman"/>
                <w:noProof/>
                <w:webHidden/>
                <w:sz w:val="24"/>
                <w:szCs w:val="24"/>
              </w:rPr>
              <w:fldChar w:fldCharType="end"/>
            </w:r>
          </w:hyperlink>
        </w:p>
        <w:p w14:paraId="40ADD9BA" w14:textId="2E9E7F34" w:rsidR="0086213A" w:rsidRPr="0086213A" w:rsidRDefault="0086213A" w:rsidP="0086213A">
          <w:pPr>
            <w:pStyle w:val="TDC1"/>
            <w:tabs>
              <w:tab w:val="left" w:pos="440"/>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6" w:history="1">
            <w:r w:rsidRPr="0086213A">
              <w:rPr>
                <w:rStyle w:val="Hipervnculo"/>
                <w:rFonts w:ascii="Times New Roman" w:hAnsi="Times New Roman" w:cs="Times New Roman"/>
                <w:noProof/>
                <w:sz w:val="24"/>
                <w:szCs w:val="24"/>
                <w:lang w:val="es-CO"/>
              </w:rPr>
              <w:t>6.</w:t>
            </w:r>
            <w:r w:rsidRPr="0086213A">
              <w:rPr>
                <w:rFonts w:ascii="Times New Roman" w:eastAsiaTheme="minorEastAsia" w:hAnsi="Times New Roman" w:cs="Times New Roman"/>
                <w:noProof/>
                <w:kern w:val="0"/>
                <w:sz w:val="24"/>
                <w:szCs w:val="24"/>
                <w14:ligatures w14:val="none"/>
              </w:rPr>
              <w:tab/>
            </w:r>
            <w:r w:rsidRPr="0086213A">
              <w:rPr>
                <w:rStyle w:val="Hipervnculo"/>
                <w:rFonts w:ascii="Times New Roman" w:hAnsi="Times New Roman" w:cs="Times New Roman"/>
                <w:noProof/>
                <w:sz w:val="24"/>
                <w:szCs w:val="24"/>
                <w:lang w:val="es-CO"/>
              </w:rPr>
              <w:t>Síntesis de hallazgos de la revisión de patentes en el sector salud</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_Toc204730256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20</w:t>
            </w:r>
            <w:r w:rsidRPr="0086213A">
              <w:rPr>
                <w:rFonts w:ascii="Times New Roman" w:hAnsi="Times New Roman" w:cs="Times New Roman"/>
                <w:noProof/>
                <w:webHidden/>
                <w:sz w:val="24"/>
                <w:szCs w:val="24"/>
              </w:rPr>
              <w:fldChar w:fldCharType="end"/>
            </w:r>
          </w:hyperlink>
        </w:p>
        <w:p w14:paraId="68867934" w14:textId="76982DCA" w:rsidR="0086213A" w:rsidRPr="0086213A" w:rsidRDefault="0086213A" w:rsidP="0086213A">
          <w:pPr>
            <w:pStyle w:val="TDC1"/>
            <w:tabs>
              <w:tab w:val="right" w:leader="dot" w:pos="9350"/>
            </w:tabs>
            <w:spacing w:line="360" w:lineRule="auto"/>
            <w:rPr>
              <w:rFonts w:ascii="Times New Roman" w:eastAsiaTheme="minorEastAsia" w:hAnsi="Times New Roman" w:cs="Times New Roman"/>
              <w:noProof/>
              <w:kern w:val="0"/>
              <w:sz w:val="24"/>
              <w:szCs w:val="24"/>
              <w14:ligatures w14:val="none"/>
            </w:rPr>
          </w:pPr>
          <w:hyperlink w:anchor="_Toc204730257" w:history="1">
            <w:r w:rsidRPr="0086213A">
              <w:rPr>
                <w:rStyle w:val="Hipervnculo"/>
                <w:rFonts w:ascii="Times New Roman" w:hAnsi="Times New Roman" w:cs="Times New Roman"/>
                <w:noProof/>
                <w:sz w:val="24"/>
                <w:szCs w:val="24"/>
                <w:lang w:val="es-CO"/>
              </w:rPr>
              <w:t>Referencias Bibliográficas</w:t>
            </w:r>
            <w:r w:rsidRPr="0086213A">
              <w:rPr>
                <w:rFonts w:ascii="Times New Roman" w:hAnsi="Times New Roman" w:cs="Times New Roman"/>
                <w:noProof/>
                <w:webHidden/>
                <w:sz w:val="24"/>
                <w:szCs w:val="24"/>
              </w:rPr>
              <w:tab/>
            </w:r>
            <w:r w:rsidRPr="0086213A">
              <w:rPr>
                <w:rFonts w:ascii="Times New Roman" w:hAnsi="Times New Roman" w:cs="Times New Roman"/>
                <w:noProof/>
                <w:webHidden/>
                <w:sz w:val="24"/>
                <w:szCs w:val="24"/>
              </w:rPr>
              <w:fldChar w:fldCharType="begin"/>
            </w:r>
            <w:r w:rsidRPr="0086213A">
              <w:rPr>
                <w:rFonts w:ascii="Times New Roman" w:hAnsi="Times New Roman" w:cs="Times New Roman"/>
                <w:noProof/>
                <w:webHidden/>
                <w:sz w:val="24"/>
                <w:szCs w:val="24"/>
              </w:rPr>
              <w:instrText xml:space="preserve"> PAGEREF _Toc204730257 \h </w:instrText>
            </w:r>
            <w:r w:rsidRPr="0086213A">
              <w:rPr>
                <w:rFonts w:ascii="Times New Roman" w:hAnsi="Times New Roman" w:cs="Times New Roman"/>
                <w:noProof/>
                <w:webHidden/>
                <w:sz w:val="24"/>
                <w:szCs w:val="24"/>
              </w:rPr>
            </w:r>
            <w:r w:rsidRPr="0086213A">
              <w:rPr>
                <w:rFonts w:ascii="Times New Roman" w:hAnsi="Times New Roman" w:cs="Times New Roman"/>
                <w:noProof/>
                <w:webHidden/>
                <w:sz w:val="24"/>
                <w:szCs w:val="24"/>
              </w:rPr>
              <w:fldChar w:fldCharType="separate"/>
            </w:r>
            <w:r w:rsidRPr="0086213A">
              <w:rPr>
                <w:rFonts w:ascii="Times New Roman" w:hAnsi="Times New Roman" w:cs="Times New Roman"/>
                <w:noProof/>
                <w:webHidden/>
                <w:sz w:val="24"/>
                <w:szCs w:val="24"/>
              </w:rPr>
              <w:t>23</w:t>
            </w:r>
            <w:r w:rsidRPr="0086213A">
              <w:rPr>
                <w:rFonts w:ascii="Times New Roman" w:hAnsi="Times New Roman" w:cs="Times New Roman"/>
                <w:noProof/>
                <w:webHidden/>
                <w:sz w:val="24"/>
                <w:szCs w:val="24"/>
              </w:rPr>
              <w:fldChar w:fldCharType="end"/>
            </w:r>
          </w:hyperlink>
        </w:p>
        <w:p w14:paraId="51EF1F3F" w14:textId="09E4A86B" w:rsidR="00C2619C" w:rsidRPr="005A31D7" w:rsidRDefault="00C2619C" w:rsidP="0086213A">
          <w:pPr>
            <w:spacing w:line="360" w:lineRule="auto"/>
            <w:rPr>
              <w:rFonts w:ascii="Times New Roman" w:hAnsi="Times New Roman" w:cs="Times New Roman"/>
              <w:sz w:val="24"/>
              <w:szCs w:val="24"/>
            </w:rPr>
          </w:pPr>
          <w:r w:rsidRPr="0086213A">
            <w:rPr>
              <w:rFonts w:ascii="Times New Roman" w:hAnsi="Times New Roman" w:cs="Times New Roman"/>
              <w:b/>
              <w:bCs/>
              <w:sz w:val="24"/>
              <w:szCs w:val="24"/>
              <w:lang w:val="es-ES"/>
            </w:rPr>
            <w:fldChar w:fldCharType="end"/>
          </w:r>
        </w:p>
      </w:sdtContent>
    </w:sdt>
    <w:p w14:paraId="7452D98B" w14:textId="2970982B" w:rsidR="00145772" w:rsidRPr="005A31D7" w:rsidRDefault="00145772" w:rsidP="00145772">
      <w:pPr>
        <w:rPr>
          <w:rFonts w:ascii="Times New Roman" w:hAnsi="Times New Roman" w:cs="Times New Roman"/>
          <w:sz w:val="24"/>
          <w:szCs w:val="24"/>
          <w:lang w:val="es-CO"/>
        </w:rPr>
      </w:pPr>
    </w:p>
    <w:p w14:paraId="4DC68CDA" w14:textId="36BC9859" w:rsidR="008101D4" w:rsidRPr="005A31D7" w:rsidRDefault="00145772" w:rsidP="00145772">
      <w:pPr>
        <w:jc w:val="center"/>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Lista de Figuras</w:t>
      </w:r>
    </w:p>
    <w:p w14:paraId="6DA4AA13" w14:textId="77777777" w:rsidR="008101D4" w:rsidRPr="005A31D7" w:rsidRDefault="008101D4" w:rsidP="008101D4">
      <w:pPr>
        <w:rPr>
          <w:rFonts w:ascii="Times New Roman" w:hAnsi="Times New Roman" w:cs="Times New Roman"/>
          <w:sz w:val="24"/>
          <w:szCs w:val="24"/>
          <w:lang w:val="es-CO"/>
        </w:rPr>
      </w:pPr>
    </w:p>
    <w:p w14:paraId="33C56AAB" w14:textId="311B425A" w:rsidR="00145772" w:rsidRPr="005A31D7" w:rsidRDefault="008101D4"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r w:rsidRPr="005A31D7">
        <w:rPr>
          <w:rFonts w:ascii="Times New Roman" w:hAnsi="Times New Roman" w:cs="Times New Roman"/>
          <w:sz w:val="24"/>
          <w:szCs w:val="24"/>
          <w:lang w:val="es-CO"/>
        </w:rPr>
        <w:fldChar w:fldCharType="begin"/>
      </w:r>
      <w:r w:rsidRPr="005A31D7">
        <w:rPr>
          <w:rFonts w:ascii="Times New Roman" w:hAnsi="Times New Roman" w:cs="Times New Roman"/>
          <w:sz w:val="24"/>
          <w:szCs w:val="24"/>
          <w:lang w:val="es-CO"/>
        </w:rPr>
        <w:instrText xml:space="preserve"> TOC \h \z \c "Figura" </w:instrText>
      </w:r>
      <w:r w:rsidRPr="005A31D7">
        <w:rPr>
          <w:rFonts w:ascii="Times New Roman" w:hAnsi="Times New Roman" w:cs="Times New Roman"/>
          <w:sz w:val="24"/>
          <w:szCs w:val="24"/>
          <w:lang w:val="es-CO"/>
        </w:rPr>
        <w:fldChar w:fldCharType="separate"/>
      </w:r>
      <w:hyperlink w:anchor="_Toc203941107" w:history="1">
        <w:r w:rsidR="00145772" w:rsidRPr="005A31D7">
          <w:rPr>
            <w:rStyle w:val="Hipervnculo"/>
            <w:rFonts w:ascii="Times New Roman" w:hAnsi="Times New Roman" w:cs="Times New Roman"/>
            <w:noProof/>
            <w:sz w:val="24"/>
            <w:szCs w:val="24"/>
            <w:lang w:val="es-CO"/>
          </w:rPr>
          <w:t>Figura 1.  Panorama de solicitudes de patentes en Colombia</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_Toc203941107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2</w:t>
        </w:r>
        <w:r w:rsidR="00145772" w:rsidRPr="005A31D7">
          <w:rPr>
            <w:rFonts w:ascii="Times New Roman" w:hAnsi="Times New Roman" w:cs="Times New Roman"/>
            <w:noProof/>
            <w:webHidden/>
            <w:sz w:val="24"/>
            <w:szCs w:val="24"/>
            <w:lang w:val="es-CO"/>
          </w:rPr>
          <w:fldChar w:fldCharType="end"/>
        </w:r>
      </w:hyperlink>
    </w:p>
    <w:p w14:paraId="3799F704" w14:textId="54E9552C"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08" w:history="1">
        <w:r w:rsidR="00145772" w:rsidRPr="005A31D7">
          <w:rPr>
            <w:rStyle w:val="Hipervnculo"/>
            <w:rFonts w:ascii="Times New Roman" w:hAnsi="Times New Roman" w:cs="Times New Roman"/>
            <w:noProof/>
            <w:sz w:val="24"/>
            <w:szCs w:val="24"/>
            <w:lang w:val="es-CO"/>
          </w:rPr>
          <w:t>Figura 2.  Panorama de solicitudes de patentes en Santander</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_Toc203941108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4</w:t>
        </w:r>
        <w:r w:rsidR="00145772" w:rsidRPr="005A31D7">
          <w:rPr>
            <w:rFonts w:ascii="Times New Roman" w:hAnsi="Times New Roman" w:cs="Times New Roman"/>
            <w:noProof/>
            <w:webHidden/>
            <w:sz w:val="24"/>
            <w:szCs w:val="24"/>
            <w:lang w:val="es-CO"/>
          </w:rPr>
          <w:fldChar w:fldCharType="end"/>
        </w:r>
      </w:hyperlink>
    </w:p>
    <w:p w14:paraId="28A62694" w14:textId="64CCDCAF"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09" w:history="1">
        <w:r w:rsidR="00145772" w:rsidRPr="005A31D7">
          <w:rPr>
            <w:rStyle w:val="Hipervnculo"/>
            <w:rFonts w:ascii="Times New Roman" w:hAnsi="Times New Roman" w:cs="Times New Roman"/>
            <w:noProof/>
            <w:sz w:val="24"/>
            <w:szCs w:val="24"/>
            <w:lang w:val="es-CO"/>
          </w:rPr>
          <w:t>Figura 3.  Solicitudes de patentes en el área de Tecnología Médica en Colombia</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_Toc203941109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7</w:t>
        </w:r>
        <w:r w:rsidR="00145772" w:rsidRPr="005A31D7">
          <w:rPr>
            <w:rFonts w:ascii="Times New Roman" w:hAnsi="Times New Roman" w:cs="Times New Roman"/>
            <w:noProof/>
            <w:webHidden/>
            <w:sz w:val="24"/>
            <w:szCs w:val="24"/>
            <w:lang w:val="es-CO"/>
          </w:rPr>
          <w:fldChar w:fldCharType="end"/>
        </w:r>
      </w:hyperlink>
    </w:p>
    <w:p w14:paraId="0922B23E" w14:textId="1791C1C5"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10" w:history="1">
        <w:r w:rsidR="00145772" w:rsidRPr="005A31D7">
          <w:rPr>
            <w:rStyle w:val="Hipervnculo"/>
            <w:rFonts w:ascii="Times New Roman" w:hAnsi="Times New Roman" w:cs="Times New Roman"/>
            <w:noProof/>
            <w:sz w:val="24"/>
            <w:szCs w:val="24"/>
            <w:lang w:val="es-CO"/>
          </w:rPr>
          <w:t>Figura 4.  Solicitudes de patentes en el área de Tecnología Médica en Santander</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_Toc203941110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9</w:t>
        </w:r>
        <w:r w:rsidR="00145772" w:rsidRPr="005A31D7">
          <w:rPr>
            <w:rFonts w:ascii="Times New Roman" w:hAnsi="Times New Roman" w:cs="Times New Roman"/>
            <w:noProof/>
            <w:webHidden/>
            <w:sz w:val="24"/>
            <w:szCs w:val="24"/>
            <w:lang w:val="es-CO"/>
          </w:rPr>
          <w:fldChar w:fldCharType="end"/>
        </w:r>
      </w:hyperlink>
    </w:p>
    <w:p w14:paraId="131CAA06" w14:textId="197598C0"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11" w:history="1">
        <w:r w:rsidR="00145772" w:rsidRPr="005A31D7">
          <w:rPr>
            <w:rStyle w:val="Hipervnculo"/>
            <w:rFonts w:ascii="Times New Roman" w:hAnsi="Times New Roman" w:cs="Times New Roman"/>
            <w:noProof/>
            <w:sz w:val="24"/>
            <w:szCs w:val="24"/>
            <w:lang w:val="es-CO"/>
          </w:rPr>
          <w:t>Figura 5. Solicitudes de patentes en el área de Productos Farmacéuticos en Colombia</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_Toc203941111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11</w:t>
        </w:r>
        <w:r w:rsidR="00145772" w:rsidRPr="005A31D7">
          <w:rPr>
            <w:rFonts w:ascii="Times New Roman" w:hAnsi="Times New Roman" w:cs="Times New Roman"/>
            <w:noProof/>
            <w:webHidden/>
            <w:sz w:val="24"/>
            <w:szCs w:val="24"/>
            <w:lang w:val="es-CO"/>
          </w:rPr>
          <w:fldChar w:fldCharType="end"/>
        </w:r>
      </w:hyperlink>
    </w:p>
    <w:p w14:paraId="4DB3762E" w14:textId="29393F8C"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12" w:history="1">
        <w:r w:rsidR="00145772" w:rsidRPr="005A31D7">
          <w:rPr>
            <w:rStyle w:val="Hipervnculo"/>
            <w:rFonts w:ascii="Times New Roman" w:hAnsi="Times New Roman" w:cs="Times New Roman"/>
            <w:noProof/>
            <w:sz w:val="24"/>
            <w:szCs w:val="24"/>
            <w:lang w:val="es-CO"/>
          </w:rPr>
          <w:t>Figura 6.  Solicitudes de patentes en el área de Productos Farmacéuticos en Santander</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_Toc203941112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13</w:t>
        </w:r>
        <w:r w:rsidR="00145772" w:rsidRPr="005A31D7">
          <w:rPr>
            <w:rFonts w:ascii="Times New Roman" w:hAnsi="Times New Roman" w:cs="Times New Roman"/>
            <w:noProof/>
            <w:webHidden/>
            <w:sz w:val="24"/>
            <w:szCs w:val="24"/>
            <w:lang w:val="es-CO"/>
          </w:rPr>
          <w:fldChar w:fldCharType="end"/>
        </w:r>
      </w:hyperlink>
    </w:p>
    <w:p w14:paraId="78C99FEB" w14:textId="2713E4FD"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13" w:history="1">
        <w:r w:rsidR="00145772" w:rsidRPr="005A31D7">
          <w:rPr>
            <w:rStyle w:val="Hipervnculo"/>
            <w:rFonts w:ascii="Times New Roman" w:hAnsi="Times New Roman" w:cs="Times New Roman"/>
            <w:noProof/>
            <w:sz w:val="24"/>
            <w:szCs w:val="24"/>
            <w:lang w:val="es-CO"/>
          </w:rPr>
          <w:t>Figura 7.  Solicitudes de patentes en el área de Biotecnología en Colombia</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_Toc203941113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14</w:t>
        </w:r>
        <w:r w:rsidR="00145772" w:rsidRPr="005A31D7">
          <w:rPr>
            <w:rFonts w:ascii="Times New Roman" w:hAnsi="Times New Roman" w:cs="Times New Roman"/>
            <w:noProof/>
            <w:webHidden/>
            <w:sz w:val="24"/>
            <w:szCs w:val="24"/>
            <w:lang w:val="es-CO"/>
          </w:rPr>
          <w:fldChar w:fldCharType="end"/>
        </w:r>
      </w:hyperlink>
    </w:p>
    <w:p w14:paraId="6A08F913" w14:textId="7DD1B177" w:rsidR="00145772" w:rsidRPr="005A31D7" w:rsidRDefault="00520D87" w:rsidP="00C2619C">
      <w:pPr>
        <w:pStyle w:val="Tabladeilustraciones"/>
        <w:tabs>
          <w:tab w:val="right" w:leader="dot" w:pos="9350"/>
        </w:tabs>
        <w:spacing w:line="360" w:lineRule="auto"/>
        <w:rPr>
          <w:rFonts w:ascii="Times New Roman" w:eastAsiaTheme="minorEastAsia" w:hAnsi="Times New Roman" w:cs="Times New Roman"/>
          <w:noProof/>
          <w:kern w:val="0"/>
          <w:sz w:val="24"/>
          <w:szCs w:val="24"/>
          <w:lang w:val="es-CO"/>
          <w14:ligatures w14:val="none"/>
        </w:rPr>
      </w:pPr>
      <w:hyperlink w:anchor="_Toc203941114" w:history="1">
        <w:r w:rsidR="00145772" w:rsidRPr="005A31D7">
          <w:rPr>
            <w:rStyle w:val="Hipervnculo"/>
            <w:rFonts w:ascii="Times New Roman" w:hAnsi="Times New Roman" w:cs="Times New Roman"/>
            <w:noProof/>
            <w:sz w:val="24"/>
            <w:szCs w:val="24"/>
            <w:lang w:val="es-CO"/>
          </w:rPr>
          <w:t>Figura 8. Solicitudes de patentes en el área de Biotecnología en Santander</w:t>
        </w:r>
        <w:r w:rsidR="00145772" w:rsidRPr="005A31D7">
          <w:rPr>
            <w:rFonts w:ascii="Times New Roman" w:hAnsi="Times New Roman" w:cs="Times New Roman"/>
            <w:noProof/>
            <w:webHidden/>
            <w:sz w:val="24"/>
            <w:szCs w:val="24"/>
            <w:lang w:val="es-CO"/>
          </w:rPr>
          <w:tab/>
        </w:r>
        <w:r w:rsidR="00145772" w:rsidRPr="005A31D7">
          <w:rPr>
            <w:rFonts w:ascii="Times New Roman" w:hAnsi="Times New Roman" w:cs="Times New Roman"/>
            <w:noProof/>
            <w:webHidden/>
            <w:sz w:val="24"/>
            <w:szCs w:val="24"/>
            <w:lang w:val="es-CO"/>
          </w:rPr>
          <w:fldChar w:fldCharType="begin"/>
        </w:r>
        <w:r w:rsidR="00145772" w:rsidRPr="005A31D7">
          <w:rPr>
            <w:rFonts w:ascii="Times New Roman" w:hAnsi="Times New Roman" w:cs="Times New Roman"/>
            <w:noProof/>
            <w:webHidden/>
            <w:sz w:val="24"/>
            <w:szCs w:val="24"/>
            <w:lang w:val="es-CO"/>
          </w:rPr>
          <w:instrText xml:space="preserve"> PAGEREF _Toc203941114 \h </w:instrText>
        </w:r>
        <w:r w:rsidR="00145772" w:rsidRPr="005A31D7">
          <w:rPr>
            <w:rFonts w:ascii="Times New Roman" w:hAnsi="Times New Roman" w:cs="Times New Roman"/>
            <w:noProof/>
            <w:webHidden/>
            <w:sz w:val="24"/>
            <w:szCs w:val="24"/>
            <w:lang w:val="es-CO"/>
          </w:rPr>
        </w:r>
        <w:r w:rsidR="00145772" w:rsidRPr="005A31D7">
          <w:rPr>
            <w:rFonts w:ascii="Times New Roman" w:hAnsi="Times New Roman" w:cs="Times New Roman"/>
            <w:noProof/>
            <w:webHidden/>
            <w:sz w:val="24"/>
            <w:szCs w:val="24"/>
            <w:lang w:val="es-CO"/>
          </w:rPr>
          <w:fldChar w:fldCharType="separate"/>
        </w:r>
        <w:r w:rsidR="00145772" w:rsidRPr="005A31D7">
          <w:rPr>
            <w:rFonts w:ascii="Times New Roman" w:hAnsi="Times New Roman" w:cs="Times New Roman"/>
            <w:noProof/>
            <w:webHidden/>
            <w:sz w:val="24"/>
            <w:szCs w:val="24"/>
            <w:lang w:val="es-CO"/>
          </w:rPr>
          <w:t>16</w:t>
        </w:r>
        <w:r w:rsidR="00145772" w:rsidRPr="005A31D7">
          <w:rPr>
            <w:rFonts w:ascii="Times New Roman" w:hAnsi="Times New Roman" w:cs="Times New Roman"/>
            <w:noProof/>
            <w:webHidden/>
            <w:sz w:val="24"/>
            <w:szCs w:val="24"/>
            <w:lang w:val="es-CO"/>
          </w:rPr>
          <w:fldChar w:fldCharType="end"/>
        </w:r>
      </w:hyperlink>
    </w:p>
    <w:p w14:paraId="57EE586C" w14:textId="78369823" w:rsidR="008101D4" w:rsidRPr="005A31D7" w:rsidRDefault="008101D4" w:rsidP="00C2619C">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fldChar w:fldCharType="end"/>
      </w:r>
    </w:p>
    <w:p w14:paraId="617770EC" w14:textId="3E33F177" w:rsidR="00521AC0" w:rsidRPr="005A31D7" w:rsidRDefault="00521AC0" w:rsidP="008101D4">
      <w:pPr>
        <w:rPr>
          <w:rFonts w:ascii="Times New Roman" w:hAnsi="Times New Roman" w:cs="Times New Roman"/>
          <w:sz w:val="24"/>
          <w:szCs w:val="24"/>
          <w:lang w:val="es-CO"/>
        </w:rPr>
      </w:pPr>
    </w:p>
    <w:p w14:paraId="69C33300" w14:textId="39AF8F6B" w:rsidR="00521AC0" w:rsidRPr="005A31D7" w:rsidRDefault="00521AC0" w:rsidP="008101D4">
      <w:pPr>
        <w:rPr>
          <w:rFonts w:ascii="Times New Roman" w:hAnsi="Times New Roman" w:cs="Times New Roman"/>
          <w:sz w:val="24"/>
          <w:szCs w:val="24"/>
          <w:lang w:val="es-CO"/>
        </w:rPr>
      </w:pPr>
    </w:p>
    <w:p w14:paraId="1F1DD740" w14:textId="3A33CF5E" w:rsidR="00521AC0" w:rsidRPr="005A31D7" w:rsidRDefault="00521AC0" w:rsidP="008101D4">
      <w:pPr>
        <w:rPr>
          <w:rFonts w:ascii="Times New Roman" w:hAnsi="Times New Roman" w:cs="Times New Roman"/>
          <w:sz w:val="24"/>
          <w:szCs w:val="24"/>
          <w:lang w:val="es-CO"/>
        </w:rPr>
      </w:pPr>
    </w:p>
    <w:p w14:paraId="70A7193E" w14:textId="228CD82F" w:rsidR="00521AC0" w:rsidRPr="005A31D7" w:rsidRDefault="00521AC0" w:rsidP="008101D4">
      <w:pPr>
        <w:rPr>
          <w:rFonts w:ascii="Times New Roman" w:hAnsi="Times New Roman" w:cs="Times New Roman"/>
          <w:sz w:val="24"/>
          <w:szCs w:val="24"/>
          <w:lang w:val="es-CO"/>
        </w:rPr>
      </w:pPr>
    </w:p>
    <w:p w14:paraId="3C836BD3" w14:textId="58890E55" w:rsidR="005A31D7" w:rsidRPr="005A31D7" w:rsidRDefault="005A31D7" w:rsidP="00521AC0">
      <w:pPr>
        <w:pStyle w:val="Ttulo1"/>
        <w:numPr>
          <w:ilvl w:val="0"/>
          <w:numId w:val="5"/>
        </w:numPr>
        <w:rPr>
          <w:rFonts w:cs="Times New Roman"/>
          <w:szCs w:val="24"/>
          <w:lang w:val="es-CO"/>
        </w:rPr>
      </w:pPr>
      <w:bookmarkStart w:id="0" w:name="_Toc203941107"/>
      <w:bookmarkStart w:id="1" w:name="_Toc204730251"/>
      <w:r w:rsidRPr="005A31D7">
        <w:rPr>
          <w:rFonts w:cs="Times New Roman"/>
          <w:szCs w:val="24"/>
          <w:lang w:val="es-CO"/>
        </w:rPr>
        <w:t xml:space="preserve">Análisis </w:t>
      </w:r>
      <w:r w:rsidR="0072488B">
        <w:rPr>
          <w:rFonts w:cs="Times New Roman"/>
          <w:szCs w:val="24"/>
          <w:lang w:val="es-CO"/>
        </w:rPr>
        <w:t>global del patentamiento en salud</w:t>
      </w:r>
      <w:bookmarkEnd w:id="1"/>
    </w:p>
    <w:p w14:paraId="5AA0B28A" w14:textId="77777777" w:rsidR="005A31D7" w:rsidRDefault="005A31D7" w:rsidP="005A31D7">
      <w:pPr>
        <w:rPr>
          <w:rFonts w:ascii="Times New Roman" w:hAnsi="Times New Roman" w:cs="Times New Roman"/>
          <w:sz w:val="24"/>
          <w:szCs w:val="24"/>
          <w:lang w:val="es-CO"/>
        </w:rPr>
      </w:pPr>
    </w:p>
    <w:p w14:paraId="2A3ECF82" w14:textId="2447A75F" w:rsidR="00260EF7" w:rsidRPr="005A31D7" w:rsidRDefault="00260EF7" w:rsidP="00260EF7">
      <w:pPr>
        <w:spacing w:line="480" w:lineRule="auto"/>
        <w:ind w:firstLine="720"/>
        <w:jc w:val="both"/>
        <w:rPr>
          <w:rFonts w:ascii="Times New Roman" w:hAnsi="Times New Roman" w:cs="Times New Roman"/>
          <w:sz w:val="24"/>
          <w:szCs w:val="24"/>
          <w:lang w:val="es-CO"/>
        </w:rPr>
      </w:pPr>
      <w:r w:rsidRPr="00260EF7">
        <w:rPr>
          <w:rFonts w:ascii="Times New Roman" w:hAnsi="Times New Roman" w:cs="Times New Roman"/>
          <w:sz w:val="24"/>
          <w:szCs w:val="24"/>
          <w:lang w:val="es-CO"/>
        </w:rPr>
        <w:t xml:space="preserve">En el marco del seguimiento a las dinámicas globales de innovación orientadas al cumplimiento de los Objetivos de Desarrollo Sostenible (ODS), el ODS 3: Salud y bienestar se consolida como una de las áreas prioritarias de desarrollo tecnológico. A través del estudio "Panorama de la innovación: Patentes y ODS" publicado por la OMPI </w:t>
      </w:r>
      <w:sdt>
        <w:sdtPr>
          <w:rPr>
            <w:rFonts w:ascii="Times New Roman" w:hAnsi="Times New Roman" w:cs="Times New Roman"/>
            <w:sz w:val="24"/>
            <w:szCs w:val="24"/>
            <w:lang w:val="es-CO"/>
          </w:rPr>
          <w:alias w:val="To edit, see citavi.com/edit"/>
          <w:tag w:val="CitaviPlaceholder#34cace88-5759-4fe0-8657-a9c290225e21"/>
          <w:id w:val="-1453397612"/>
          <w:placeholder>
            <w:docPart w:val="DefaultPlaceholder_-1854013440"/>
          </w:placeholder>
        </w:sdtPr>
        <w:sdtEndPr/>
        <w:sdtContent>
          <w:r w:rsidR="009A3AAC">
            <w:rPr>
              <w:rFonts w:ascii="Times New Roman" w:hAnsi="Times New Roman" w:cs="Times New Roman"/>
              <w:sz w:val="24"/>
              <w:szCs w:val="24"/>
              <w:lang w:val="es-CO"/>
            </w:rPr>
            <w:fldChar w:fldCharType="begin"/>
          </w:r>
          <w:r w:rsidR="00520D87">
            <w:rPr>
              <w:rFonts w:ascii="Times New Roman" w:hAnsi="Times New Roman" w:cs="Times New Roman"/>
              <w:sz w:val="24"/>
              <w:szCs w:val="24"/>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KCB1bmFzKSAwMDAwIC0gW01hcHBpbmcgSW5ub3ZhdGlvbnMgU3VidGl0bGU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QiLCJEb2kiOiIxMC4zNDY2Ny9USU5ELjQ5MzAzIiwiRWRpdG9ycyI6W10sIkV2YWx1YXRpb25Db21wbGV4aXR5IjowLCJFdmFsdWF0aW9uU291cmNlVGV4dEZvcm1hdCI6MCwiR3JvdXBzIjpbXSwiSGFzTGFiZWwxIjpmYWxzZSwiSGFzTGFiZWwyIjpmYWxzZSwiS2V5d29yZHMiOltdLCJMYW5ndWFnZSI6ImVzIiwiTGFuZ3VhZ2VDb2RlIjoiZXMi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MTAuMzQ2NjcvVElORC40OTMwMyIsIlVyaVN0cmluZyI6Imh0dHBzOi8vZG9pLm9yZy8xMC4zNDY2Ny9USU5ELjQ5MzAz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}</w:instrText>
          </w:r>
          <w:r w:rsidR="009A3AAC">
            <w:rPr>
              <w:rFonts w:ascii="Times New Roman" w:hAnsi="Times New Roman" w:cs="Times New Roman"/>
              <w:sz w:val="24"/>
              <w:szCs w:val="24"/>
              <w:lang w:val="es-CO"/>
            </w:rPr>
            <w:fldChar w:fldCharType="separate"/>
          </w:r>
          <w:r w:rsidR="009A3AAC">
            <w:rPr>
              <w:rFonts w:ascii="Times New Roman" w:hAnsi="Times New Roman" w:cs="Times New Roman"/>
              <w:sz w:val="24"/>
              <w:szCs w:val="24"/>
              <w:lang w:val="es-CO"/>
            </w:rPr>
            <w:t>(2024)</w:t>
          </w:r>
          <w:r w:rsidR="009A3AAC">
            <w:rPr>
              <w:rFonts w:ascii="Times New Roman" w:hAnsi="Times New Roman" w:cs="Times New Roman"/>
              <w:sz w:val="24"/>
              <w:szCs w:val="24"/>
              <w:lang w:val="es-CO"/>
            </w:rPr>
            <w:fldChar w:fldCharType="end"/>
          </w:r>
        </w:sdtContent>
      </w:sdt>
      <w:r w:rsidR="009A3AAC">
        <w:rPr>
          <w:rFonts w:ascii="Times New Roman" w:hAnsi="Times New Roman" w:cs="Times New Roman"/>
          <w:sz w:val="24"/>
          <w:szCs w:val="24"/>
          <w:lang w:val="es-CO"/>
        </w:rPr>
        <w:t xml:space="preserve"> </w:t>
      </w:r>
      <w:r w:rsidRPr="00260EF7">
        <w:rPr>
          <w:rFonts w:ascii="Times New Roman" w:hAnsi="Times New Roman" w:cs="Times New Roman"/>
          <w:sz w:val="24"/>
          <w:szCs w:val="24"/>
          <w:lang w:val="es-CO"/>
        </w:rPr>
        <w:t>se identifican las principales tendencias del patentamiento en el sector salud, permitiendo mapear los focos tecnológicos más relevantes y los actores que lideran este proceso a nivel mundial. Este análisis permite comprender cómo la actividad inventiva en salud se alinea con los retos globales en materia de bienestar, y ofrece insumos estratégicos para orientar políticas de innovación en contextos como el colombiano.</w:t>
      </w:r>
    </w:p>
    <w:p w14:paraId="6CCA75CA" w14:textId="77777777" w:rsidR="005A31D7" w:rsidRPr="005A31D7" w:rsidRDefault="005A31D7" w:rsidP="00491015">
      <w:pPr>
        <w:spacing w:line="360" w:lineRule="auto"/>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1. Importancia relativa del ODS 3 en el ecosistema de innovación</w:t>
      </w:r>
    </w:p>
    <w:p w14:paraId="2E15B414" w14:textId="77777777" w:rsidR="005A31D7" w:rsidRPr="005A31D7" w:rsidRDefault="005A31D7" w:rsidP="00512536">
      <w:p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El ODS 3: Salud y bienestar se ubica entre los cinco primeros ODS con mayor número de familias de patentes activas en el mundo (alrededor de 600.000 en 2023).</w:t>
      </w:r>
    </w:p>
    <w:p w14:paraId="4A840BA7" w14:textId="77777777" w:rsidR="005A31D7" w:rsidRPr="005A31D7" w:rsidRDefault="005A31D7" w:rsidP="00512536">
      <w:p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Aunque tiene un peso menor comparado con ODS como el 9 (Industria, innovación e infraestructura) y el 13 (Acción por el clima), mantiene una tendencia ascendente sostenida desde el año 2000.</w:t>
      </w:r>
    </w:p>
    <w:p w14:paraId="4B91FD04" w14:textId="77777777" w:rsidR="005A31D7" w:rsidRPr="005A31D7" w:rsidRDefault="005A31D7" w:rsidP="00512536">
      <w:p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La diferencia se debe a que la innovación médica tiende a fragmentarse en invenciones específicas (ej. tratamientos, vacunas, diagnósticos) en lugar de desarrollos industriales de gran escala, lo cual afecta el volumen de patentes.</w:t>
      </w:r>
    </w:p>
    <w:p w14:paraId="5035E6BE" w14:textId="77777777" w:rsidR="005A31D7" w:rsidRPr="005A31D7" w:rsidRDefault="005A31D7" w:rsidP="00512536">
      <w:pPr>
        <w:spacing w:line="360" w:lineRule="auto"/>
        <w:jc w:val="both"/>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2. Tecnologías clave asociadas al ODS 3</w:t>
      </w:r>
    </w:p>
    <w:p w14:paraId="3EE1E9B4" w14:textId="77777777" w:rsidR="005A31D7" w:rsidRPr="005A31D7" w:rsidRDefault="005A31D7" w:rsidP="00512536">
      <w:p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Las esferas tecnológicas más vinculadas al ODS 3 son:</w:t>
      </w:r>
    </w:p>
    <w:p w14:paraId="6289127D" w14:textId="77777777" w:rsidR="005A31D7" w:rsidRPr="005A31D7" w:rsidRDefault="005A31D7" w:rsidP="00512536">
      <w:pPr>
        <w:pStyle w:val="Prrafodelista"/>
        <w:numPr>
          <w:ilvl w:val="0"/>
          <w:numId w:val="6"/>
        </w:num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Productos farmacéuticos (esfera 16): incluye nuevos medicamentos, terapias dirigidas y formulaciones biofarmacéuticas.</w:t>
      </w:r>
    </w:p>
    <w:p w14:paraId="287BF38A" w14:textId="77777777" w:rsidR="005A31D7" w:rsidRPr="005A31D7" w:rsidRDefault="005A31D7" w:rsidP="00512536">
      <w:pPr>
        <w:pStyle w:val="Prrafodelista"/>
        <w:numPr>
          <w:ilvl w:val="0"/>
          <w:numId w:val="6"/>
        </w:num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Biotecnología (esfera 15): orientada a tratamientos genéticos, vacunas y técnicas celulares.</w:t>
      </w:r>
    </w:p>
    <w:p w14:paraId="04437043" w14:textId="77777777" w:rsidR="005A31D7" w:rsidRPr="005A31D7" w:rsidRDefault="005A31D7" w:rsidP="00512536">
      <w:pPr>
        <w:pStyle w:val="Prrafodelista"/>
        <w:numPr>
          <w:ilvl w:val="0"/>
          <w:numId w:val="6"/>
        </w:num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Tecnología médica (esfera 13): centrada en dispositivos diagnósticos, equipos quirúrgicos, herramientas de monitoreo y tecnologías de salud digital.</w:t>
      </w:r>
    </w:p>
    <w:p w14:paraId="02E0D678" w14:textId="77777777" w:rsidR="005A31D7" w:rsidRPr="005A31D7" w:rsidRDefault="005A31D7" w:rsidP="00512536">
      <w:pPr>
        <w:pStyle w:val="Prrafodelista"/>
        <w:numPr>
          <w:ilvl w:val="0"/>
          <w:numId w:val="6"/>
        </w:num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Análisis de materiales biológicos (esfera 11): para análisis clínicos avanzados y biomarcadores.</w:t>
      </w:r>
    </w:p>
    <w:p w14:paraId="6AAD0021" w14:textId="77777777" w:rsidR="005A31D7" w:rsidRPr="005A31D7" w:rsidRDefault="005A31D7" w:rsidP="00512536">
      <w:pPr>
        <w:spacing w:line="360" w:lineRule="auto"/>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Estas tecnologías también están alineadas con otras esferas emergentes como la nanotecnología, utilizada en administración de fármacos y sensores médicos avanzados.</w:t>
      </w:r>
    </w:p>
    <w:p w14:paraId="1300F27E" w14:textId="77777777" w:rsidR="005A31D7" w:rsidRPr="005A31D7" w:rsidRDefault="005A31D7" w:rsidP="00491015">
      <w:pPr>
        <w:spacing w:line="360" w:lineRule="auto"/>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3. Tendencias recientes del patentamiento en salud</w:t>
      </w:r>
    </w:p>
    <w:p w14:paraId="26638E03"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En la matriz de madurez de innovación, el ODS 3 se posiciona como una temática de interés emergente, con crecimiento sostenido pero con menor intensidad comparado con sectores como energía o manufactura.</w:t>
      </w:r>
    </w:p>
    <w:p w14:paraId="7BD53295"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La TCAC (tasa compuesta de crecimiento anual) en el área de productos farmacéuticos ha sido moderada, dado que parte de una base ya consolidada, pero la actividad no se ha estancado.</w:t>
      </w:r>
    </w:p>
    <w:p w14:paraId="2187ADB8"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Existen solapamientos significativos con otros ODS: por ejemplo, la reducción de emisiones en procesos de producción de medicamentos (ODS 13) o el acceso a salud digital en zonas rurales (ODS 9 y 11).</w:t>
      </w:r>
    </w:p>
    <w:p w14:paraId="046CBDD1" w14:textId="77777777" w:rsidR="005A31D7" w:rsidRPr="005A31D7" w:rsidRDefault="005A31D7" w:rsidP="00491015">
      <w:pPr>
        <w:spacing w:line="360" w:lineRule="auto"/>
        <w:rPr>
          <w:rFonts w:ascii="Times New Roman" w:hAnsi="Times New Roman" w:cs="Times New Roman"/>
          <w:b/>
          <w:bCs/>
          <w:sz w:val="24"/>
          <w:szCs w:val="24"/>
          <w:lang w:val="es-CO"/>
        </w:rPr>
      </w:pPr>
      <w:r w:rsidRPr="005A31D7">
        <w:rPr>
          <w:rFonts w:ascii="Times New Roman" w:hAnsi="Times New Roman" w:cs="Times New Roman"/>
          <w:b/>
          <w:bCs/>
          <w:sz w:val="24"/>
          <w:szCs w:val="24"/>
          <w:lang w:val="es-CO"/>
        </w:rPr>
        <w:t>4. Principales actores institucionales en salud</w:t>
      </w:r>
    </w:p>
    <w:p w14:paraId="5ABABFC9" w14:textId="77777777" w:rsidR="005A31D7" w:rsidRPr="00491015" w:rsidRDefault="005A31D7" w:rsidP="00491015">
      <w:pPr>
        <w:pStyle w:val="Prrafodelista"/>
        <w:numPr>
          <w:ilvl w:val="0"/>
          <w:numId w:val="7"/>
        </w:numPr>
        <w:spacing w:line="360" w:lineRule="auto"/>
        <w:rPr>
          <w:rFonts w:ascii="Times New Roman" w:hAnsi="Times New Roman" w:cs="Times New Roman"/>
          <w:sz w:val="24"/>
          <w:szCs w:val="24"/>
          <w:lang w:val="es-CO"/>
        </w:rPr>
      </w:pPr>
      <w:r w:rsidRPr="00491015">
        <w:rPr>
          <w:rFonts w:ascii="Times New Roman" w:hAnsi="Times New Roman" w:cs="Times New Roman"/>
          <w:sz w:val="24"/>
          <w:szCs w:val="24"/>
          <w:lang w:val="es-CO"/>
        </w:rPr>
        <w:t>Johnson &amp; Johnson y Merck &amp; Co figuran entre los principales titulares de patentes ODS en EE.UU. dentro del sector salud.</w:t>
      </w:r>
    </w:p>
    <w:p w14:paraId="76D27D60" w14:textId="77777777" w:rsidR="005A31D7" w:rsidRPr="00491015" w:rsidRDefault="005A31D7" w:rsidP="00491015">
      <w:pPr>
        <w:pStyle w:val="Prrafodelista"/>
        <w:numPr>
          <w:ilvl w:val="0"/>
          <w:numId w:val="7"/>
        </w:numPr>
        <w:spacing w:line="360" w:lineRule="auto"/>
        <w:rPr>
          <w:rFonts w:ascii="Times New Roman" w:hAnsi="Times New Roman" w:cs="Times New Roman"/>
          <w:sz w:val="24"/>
          <w:szCs w:val="24"/>
          <w:lang w:val="es-CO"/>
        </w:rPr>
      </w:pPr>
      <w:r w:rsidRPr="00491015">
        <w:rPr>
          <w:rFonts w:ascii="Times New Roman" w:hAnsi="Times New Roman" w:cs="Times New Roman"/>
          <w:sz w:val="24"/>
          <w:szCs w:val="24"/>
          <w:lang w:val="es-CO"/>
        </w:rPr>
        <w:t>Las universidades y centros públicos, como la Universidad de California y el Gobierno de EE.UU., también tienen una elevada proporción de patentes alineadas con salud, principalmente en tecnologías médicas y terapéuticas.</w:t>
      </w:r>
    </w:p>
    <w:p w14:paraId="790B4F64"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La baja representación de farmacéuticas entre los 25 principales titulares globales se debe a su estrategia de protección menos intensiva (menos patentes por invención).</w:t>
      </w:r>
    </w:p>
    <w:p w14:paraId="7012E449" w14:textId="77777777" w:rsidR="005A31D7" w:rsidRPr="00491015" w:rsidRDefault="005A31D7" w:rsidP="00491015">
      <w:pPr>
        <w:spacing w:line="360" w:lineRule="auto"/>
        <w:rPr>
          <w:rFonts w:ascii="Times New Roman" w:hAnsi="Times New Roman" w:cs="Times New Roman"/>
          <w:b/>
          <w:bCs/>
          <w:sz w:val="24"/>
          <w:szCs w:val="24"/>
          <w:lang w:val="es-CO"/>
        </w:rPr>
      </w:pPr>
      <w:r w:rsidRPr="00491015">
        <w:rPr>
          <w:rFonts w:ascii="Times New Roman" w:hAnsi="Times New Roman" w:cs="Times New Roman"/>
          <w:b/>
          <w:bCs/>
          <w:sz w:val="24"/>
          <w:szCs w:val="24"/>
          <w:lang w:val="es-CO"/>
        </w:rPr>
        <w:t>5. Implicaciones estratégicas</w:t>
      </w:r>
    </w:p>
    <w:p w14:paraId="1FCCBAC2"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Existe una orientación global hacia la medicina personalizada, los diagnósticos rápidos, las tecnologías móviles de salud y la biotecnología regenerativa.</w:t>
      </w:r>
    </w:p>
    <w:p w14:paraId="134F536A" w14:textId="77777777" w:rsidR="005A31D7" w:rsidRP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Las tendencias apuntan a acelerar la digitalización del cuidado de la salud, mediante IA, sensores portátiles y plataformas de monitoreo remoto.</w:t>
      </w:r>
    </w:p>
    <w:p w14:paraId="0C3075EA" w14:textId="5A501510" w:rsidR="005A31D7" w:rsidRDefault="005A31D7" w:rsidP="00491015">
      <w:pPr>
        <w:spacing w:line="360" w:lineRule="auto"/>
        <w:rPr>
          <w:rFonts w:ascii="Times New Roman" w:hAnsi="Times New Roman" w:cs="Times New Roman"/>
          <w:sz w:val="24"/>
          <w:szCs w:val="24"/>
          <w:lang w:val="es-CO"/>
        </w:rPr>
      </w:pPr>
      <w:r w:rsidRPr="005A31D7">
        <w:rPr>
          <w:rFonts w:ascii="Times New Roman" w:hAnsi="Times New Roman" w:cs="Times New Roman"/>
          <w:sz w:val="24"/>
          <w:szCs w:val="24"/>
          <w:lang w:val="es-CO"/>
        </w:rPr>
        <w:t>Las patentes multijurisdiccionales (indicador de invenciones con alto valor comercial) muestran que las tecnologías en salud buscan protección más allá de mercados locales, destacando su valor estratégico global.</w:t>
      </w:r>
    </w:p>
    <w:p w14:paraId="65F93583" w14:textId="35133274" w:rsidR="00145772" w:rsidRPr="005A31D7" w:rsidRDefault="00145772" w:rsidP="00521AC0">
      <w:pPr>
        <w:pStyle w:val="Ttulo1"/>
        <w:numPr>
          <w:ilvl w:val="0"/>
          <w:numId w:val="5"/>
        </w:numPr>
        <w:rPr>
          <w:rFonts w:cs="Times New Roman"/>
          <w:szCs w:val="24"/>
          <w:lang w:val="es-CO"/>
        </w:rPr>
      </w:pPr>
      <w:bookmarkStart w:id="2" w:name="_Toc204730252"/>
      <w:r w:rsidRPr="005A31D7">
        <w:rPr>
          <w:rFonts w:cs="Times New Roman"/>
          <w:szCs w:val="24"/>
          <w:lang w:val="es-CO"/>
        </w:rPr>
        <w:t>Análisis de solicitudes de patentes en Colombia</w:t>
      </w:r>
      <w:bookmarkEnd w:id="2"/>
    </w:p>
    <w:p w14:paraId="1E7AFF6D" w14:textId="77777777" w:rsidR="00521AC0" w:rsidRPr="005A31D7" w:rsidRDefault="00521AC0" w:rsidP="00051F70">
      <w:pPr>
        <w:pStyle w:val="Descripcin"/>
        <w:keepNext/>
        <w:spacing w:line="360" w:lineRule="auto"/>
        <w:rPr>
          <w:rFonts w:ascii="Times New Roman" w:hAnsi="Times New Roman" w:cs="Times New Roman"/>
          <w:b/>
          <w:bCs/>
          <w:i w:val="0"/>
          <w:iCs w:val="0"/>
          <w:color w:val="auto"/>
          <w:sz w:val="24"/>
          <w:szCs w:val="24"/>
          <w:lang w:val="es-CO"/>
        </w:rPr>
      </w:pPr>
    </w:p>
    <w:p w14:paraId="07E7F6FC" w14:textId="76A43654" w:rsidR="00521AC0" w:rsidRPr="005A31D7" w:rsidRDefault="00521AC0" w:rsidP="00521AC0">
      <w:pPr>
        <w:pStyle w:val="Descripcin"/>
        <w:keepNext/>
        <w:spacing w:line="360" w:lineRule="auto"/>
        <w:ind w:firstLine="720"/>
        <w:jc w:val="both"/>
        <w:rPr>
          <w:rFonts w:ascii="Times New Roman" w:hAnsi="Times New Roman" w:cs="Times New Roman"/>
          <w:i w:val="0"/>
          <w:iCs w:val="0"/>
          <w:color w:val="auto"/>
          <w:sz w:val="24"/>
          <w:szCs w:val="24"/>
          <w:lang w:val="es-CO"/>
        </w:rPr>
      </w:pPr>
      <w:r w:rsidRPr="005A31D7">
        <w:rPr>
          <w:rFonts w:ascii="Times New Roman" w:hAnsi="Times New Roman" w:cs="Times New Roman"/>
          <w:i w:val="0"/>
          <w:iCs w:val="0"/>
          <w:color w:val="auto"/>
          <w:sz w:val="24"/>
          <w:szCs w:val="24"/>
          <w:lang w:val="es-CO"/>
        </w:rPr>
        <w:t>El presente análisis examina la dinámica de las solicitudes de patente en el sector salud, tanto a nivel nacional como en el departamento de Santander, durante el periodo 2000–2024. A través de series temporales, rankings territoriales y la identificación de hitos regulatorios y coyunturales, se revela cómo estas variables han configurado el ritmo y la diversificación de la innovación en instrumentación médica, productos farmacéuticos y biotecnología</w:t>
      </w:r>
      <w:r w:rsidR="00C2619C" w:rsidRPr="005A31D7">
        <w:rPr>
          <w:rFonts w:ascii="Times New Roman" w:hAnsi="Times New Roman" w:cs="Times New Roman"/>
          <w:i w:val="0"/>
          <w:iCs w:val="0"/>
          <w:color w:val="auto"/>
          <w:sz w:val="24"/>
          <w:szCs w:val="24"/>
          <w:lang w:val="es-CO"/>
        </w:rPr>
        <w:t xml:space="preserve"> </w:t>
      </w:r>
      <w:sdt>
        <w:sdtPr>
          <w:rPr>
            <w:rFonts w:ascii="Times New Roman" w:hAnsi="Times New Roman" w:cs="Times New Roman"/>
            <w:i w:val="0"/>
            <w:iCs w:val="0"/>
            <w:color w:val="auto"/>
            <w:sz w:val="24"/>
            <w:szCs w:val="24"/>
            <w:lang w:val="es-CO"/>
          </w:rPr>
          <w:alias w:val="To edit, see citavi.com/edit"/>
          <w:tag w:val="CitaviPlaceholder#6031bd23-7f96-425d-b64e-35d22ee90909"/>
          <w:id w:val="-1677645405"/>
          <w:placeholder>
            <w:docPart w:val="DefaultPlaceholder_-1854013440"/>
          </w:placeholder>
        </w:sdtPr>
        <w:sdtEndPr/>
        <w:sdtContent>
          <w:r w:rsidR="00C2619C" w:rsidRPr="005A31D7">
            <w:rPr>
              <w:rFonts w:ascii="Times New Roman" w:hAnsi="Times New Roman" w:cs="Times New Roman"/>
              <w:i w:val="0"/>
              <w:iCs w:val="0"/>
              <w:color w:val="auto"/>
              <w:sz w:val="24"/>
              <w:szCs w:val="24"/>
              <w:lang w:val="es-CO"/>
            </w:rPr>
            <w:fldChar w:fldCharType="begin"/>
          </w:r>
          <w:r w:rsidR="00520D87">
            <w:rPr>
              <w:rFonts w:ascii="Times New Roman" w:hAnsi="Times New Roman" w:cs="Times New Roman"/>
              <w:i w:val="0"/>
              <w:iCs w:val="0"/>
              <w:color w:val="auto"/>
              <w:sz w:val="24"/>
              <w:szCs w:val="24"/>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4MmM3OTkyLWRkMWYtNDNiZi05NDc3LTM4MzUxNzJmMDUxYiIsIlJhbmdlTGVuZ3RoIjoxMCwiUmVmZXJlbmNlSWQiOiJjMmUxMTE3OS0yMWUzLTQ4YWYtYmY4Zi03ZWE5YzgyN2U1Nm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wLzA1LzIwMjUiLCJBdXRob3JzIjpbeyIkaWQiOiI3IiwiJHR5cGUiOiJTd2lzc0FjYWRlbWljLkNpdGF2aS5QZXJzb24sIFN3aXNzQWNhZGVtaWMuQ2l0YXZpIiwiTGFzdE5hbWUiOiJTSUMiLCJQcm90ZWN0ZWQiOmZhbHNlLCJTZXgiOjAsIkNyZWF0ZWRCeSI6Il9HZXNzaSIsIkNyZWF0ZWRPbiI6IjIwMjUtMDctMjFUMDM6MjE6NDIiLCJNb2RpZmllZEJ5IjoiX0dlc3NpIiwiSWQiOiI3YzVhYjllMi00YmY2LTQ2ZjYtYjVmMS1lYTk3MDlkYjJlZTMiLCJNb2RpZmllZE9uIjoiMjAyNS0wNy0yMVQwMzoyMTo0Mi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UYWJsZWF1IFB1YmxpYyAxOCAwNyAyMDI1IC0gRXN0YWTDrXN0aWNhcyBkZSBQcm9waWVkYWQgSW5kdXN0cmlhbC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TgvMDUvMjAyNS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cHVibGljLnRhYmxlYXUuY29tL2FwcC9wcm9maWxlL2NpZ2VwaS92aXovRXN0YWRzdGljYXNkZVByb3BpZWRhZEluZHVzdHJpYWxkZUNvbG9tYmlhLVNJQy9Fc3RhZGlzdGljYXNfUEkiLCJVcmlTdHJpbmciOiJodHRwczovL3B1YmxpYy50YWJsZWF1LmNvbS9hcHAvcHJvZmlsZS9jaWdlcGkvdml6L0VzdGFkc3RpY2FzZGVQcm9waWVkYWRJbmR1c3RyaWFsZGVDb2xvbWJpYS1TSUMvRXN0YWRpc3RpY2FzX1BJ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}</w:instrText>
          </w:r>
          <w:r w:rsidR="00C2619C" w:rsidRPr="005A31D7">
            <w:rPr>
              <w:rFonts w:ascii="Times New Roman" w:hAnsi="Times New Roman" w:cs="Times New Roman"/>
              <w:i w:val="0"/>
              <w:iCs w:val="0"/>
              <w:color w:val="auto"/>
              <w:sz w:val="24"/>
              <w:szCs w:val="24"/>
              <w:lang w:val="es-CO"/>
            </w:rPr>
            <w:fldChar w:fldCharType="separate"/>
          </w:r>
          <w:r w:rsidR="00C2619C" w:rsidRPr="005A31D7">
            <w:rPr>
              <w:rFonts w:ascii="Times New Roman" w:hAnsi="Times New Roman" w:cs="Times New Roman"/>
              <w:i w:val="0"/>
              <w:iCs w:val="0"/>
              <w:color w:val="auto"/>
              <w:sz w:val="24"/>
              <w:szCs w:val="24"/>
              <w:lang w:val="es-CO"/>
            </w:rPr>
            <w:t>(SIC 2025)</w:t>
          </w:r>
          <w:r w:rsidR="00C2619C" w:rsidRPr="005A31D7">
            <w:rPr>
              <w:rFonts w:ascii="Times New Roman" w:hAnsi="Times New Roman" w:cs="Times New Roman"/>
              <w:i w:val="0"/>
              <w:iCs w:val="0"/>
              <w:color w:val="auto"/>
              <w:sz w:val="24"/>
              <w:szCs w:val="24"/>
              <w:lang w:val="es-CO"/>
            </w:rPr>
            <w:fldChar w:fldCharType="end"/>
          </w:r>
        </w:sdtContent>
      </w:sdt>
      <w:r w:rsidRPr="005A31D7">
        <w:rPr>
          <w:rFonts w:ascii="Times New Roman" w:hAnsi="Times New Roman" w:cs="Times New Roman"/>
          <w:i w:val="0"/>
          <w:iCs w:val="0"/>
          <w:color w:val="auto"/>
          <w:sz w:val="24"/>
          <w:szCs w:val="24"/>
          <w:lang w:val="es-CO"/>
        </w:rPr>
        <w:t>. El propósito es ofrecer una visión integrada que permita comprender las fortalezas, brechas y oportunidades para la transferencia tecnológica en salud, con miras a diseñar estrategias que impulsen un crecimiento sostenido y resiliente.</w:t>
      </w:r>
    </w:p>
    <w:p w14:paraId="66A8E3C3" w14:textId="77777777" w:rsidR="00521AC0" w:rsidRPr="005A31D7" w:rsidRDefault="00521AC0" w:rsidP="00521AC0">
      <w:pPr>
        <w:rPr>
          <w:rFonts w:ascii="Times New Roman" w:hAnsi="Times New Roman" w:cs="Times New Roman"/>
          <w:sz w:val="24"/>
          <w:szCs w:val="24"/>
          <w:lang w:val="es-CO"/>
        </w:rPr>
      </w:pPr>
    </w:p>
    <w:p w14:paraId="0CC719A1" w14:textId="53869E74" w:rsidR="00051F70" w:rsidRPr="005A31D7" w:rsidRDefault="00051F70" w:rsidP="00051F70">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lastRenderedPageBreak/>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1</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Panorama de solicitudes de patentes en Colombia</w:t>
      </w:r>
      <w:bookmarkEnd w:id="0"/>
      <w:r w:rsidR="00521AC0" w:rsidRPr="005A31D7">
        <w:rPr>
          <w:rFonts w:ascii="Times New Roman" w:hAnsi="Times New Roman" w:cs="Times New Roman"/>
          <w:color w:val="auto"/>
          <w:sz w:val="24"/>
          <w:szCs w:val="24"/>
          <w:lang w:val="es-CO"/>
        </w:rPr>
        <w:t xml:space="preserve"> por año y departamento</w:t>
      </w:r>
    </w:p>
    <w:p w14:paraId="10800696" w14:textId="3CDCDFEC" w:rsidR="00E77383" w:rsidRPr="005A31D7" w:rsidRDefault="00E77383" w:rsidP="00512536">
      <w:pPr>
        <w:jc w:val="center"/>
        <w:rPr>
          <w:rFonts w:ascii="Times New Roman" w:hAnsi="Times New Roman" w:cs="Times New Roman"/>
          <w:b/>
          <w:bCs/>
          <w:sz w:val="24"/>
          <w:szCs w:val="24"/>
          <w:lang w:val="es-CO"/>
        </w:rPr>
      </w:pPr>
      <w:r w:rsidRPr="005A31D7">
        <w:rPr>
          <w:rFonts w:ascii="Times New Roman" w:hAnsi="Times New Roman" w:cs="Times New Roman"/>
          <w:b/>
          <w:bCs/>
          <w:noProof/>
          <w:sz w:val="24"/>
          <w:szCs w:val="24"/>
          <w:lang w:val="es-CO"/>
        </w:rPr>
        <w:drawing>
          <wp:inline distT="0" distB="0" distL="0" distR="0" wp14:anchorId="00872C6B" wp14:editId="47E545CB">
            <wp:extent cx="5376589" cy="3408045"/>
            <wp:effectExtent l="0" t="0" r="0" b="1905"/>
            <wp:docPr id="450112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11273" name=""/>
                    <pic:cNvPicPr/>
                  </pic:nvPicPr>
                  <pic:blipFill>
                    <a:blip r:embed="rId8"/>
                    <a:stretch>
                      <a:fillRect/>
                    </a:stretch>
                  </pic:blipFill>
                  <pic:spPr>
                    <a:xfrm>
                      <a:off x="0" y="0"/>
                      <a:ext cx="5381385" cy="3411085"/>
                    </a:xfrm>
                    <a:prstGeom prst="rect">
                      <a:avLst/>
                    </a:prstGeom>
                  </pic:spPr>
                </pic:pic>
              </a:graphicData>
            </a:graphic>
          </wp:inline>
        </w:drawing>
      </w:r>
    </w:p>
    <w:p w14:paraId="7BE0C126" w14:textId="75DD7002" w:rsidR="00521AC0" w:rsidRPr="005A31D7" w:rsidRDefault="00521AC0" w:rsidP="00521AC0">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Pr="005A31D7">
        <w:rPr>
          <w:rFonts w:ascii="Times New Roman" w:hAnsi="Times New Roman" w:cs="Times New Roman"/>
          <w:b/>
          <w:bCs/>
          <w:i w:val="0"/>
          <w:iCs w:val="0"/>
          <w:noProof/>
          <w:color w:val="auto"/>
          <w:sz w:val="24"/>
          <w:szCs w:val="24"/>
          <w:lang w:val="es-CO"/>
        </w:rPr>
        <w:t>2</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Panorama de solicitudes de patentes en Colombia por área tecnológica</w:t>
      </w:r>
    </w:p>
    <w:p w14:paraId="2132CAC7" w14:textId="1B6FCAFF" w:rsidR="00E77383" w:rsidRPr="005A31D7" w:rsidRDefault="00E77383">
      <w:pPr>
        <w:rPr>
          <w:rFonts w:ascii="Times New Roman" w:hAnsi="Times New Roman" w:cs="Times New Roman"/>
          <w:b/>
          <w:bCs/>
          <w:sz w:val="24"/>
          <w:szCs w:val="24"/>
          <w:lang w:val="es-CO"/>
        </w:rPr>
      </w:pPr>
      <w:r w:rsidRPr="005A31D7">
        <w:rPr>
          <w:rFonts w:ascii="Times New Roman" w:hAnsi="Times New Roman" w:cs="Times New Roman"/>
          <w:b/>
          <w:bCs/>
          <w:noProof/>
          <w:sz w:val="24"/>
          <w:szCs w:val="24"/>
          <w:lang w:val="es-CO"/>
        </w:rPr>
        <w:drawing>
          <wp:inline distT="0" distB="0" distL="0" distR="0" wp14:anchorId="2ACB5614" wp14:editId="179D0174">
            <wp:extent cx="5943600" cy="3350895"/>
            <wp:effectExtent l="0" t="0" r="0" b="1905"/>
            <wp:docPr id="1696695845" name="Imagen 1" descr="Gráfico, Gráfico de rectángul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95845" name="Imagen 1" descr="Gráfico, Gráfico de rectángulos&#10;&#10;Descripción generada automáticamente"/>
                    <pic:cNvPicPr/>
                  </pic:nvPicPr>
                  <pic:blipFill>
                    <a:blip r:embed="rId9"/>
                    <a:stretch>
                      <a:fillRect/>
                    </a:stretch>
                  </pic:blipFill>
                  <pic:spPr>
                    <a:xfrm>
                      <a:off x="0" y="0"/>
                      <a:ext cx="5943600" cy="3350895"/>
                    </a:xfrm>
                    <a:prstGeom prst="rect">
                      <a:avLst/>
                    </a:prstGeom>
                  </pic:spPr>
                </pic:pic>
              </a:graphicData>
            </a:graphic>
          </wp:inline>
        </w:drawing>
      </w:r>
    </w:p>
    <w:p w14:paraId="5D18335A" w14:textId="77777777" w:rsidR="00BE017C" w:rsidRPr="005A31D7" w:rsidRDefault="00BE017C" w:rsidP="00BE017C">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 xml:space="preserve">Entre 2000 y 2019 Colombia experimentó un crecimiento sostenido en su actividad de innovación, al pasar de apenas setenta solicitudes anuales a 422 en 2019, reflejo de un ecosistema de I+D+i cada vez más robusto. Sin embargo, la irrupción de la pandemia de COVID-19 en 2020 provocó una ligera contracción, con 369 solicitudes, debido a las restricciones de movilidad, la reasignación de recursos a la respuesta sanitaria y la paralización temporal de laboratorios y procesos presenciales. Aun así, esta merma fue breve: en 2021 la cifra se recuperó a 432, indicando la rápida adaptación de los agentes de innovación y la reactivación de proyectos post-confinamiento. </w:t>
      </w:r>
    </w:p>
    <w:p w14:paraId="6DFEAE3C" w14:textId="762DFB8C" w:rsidR="00BE017C" w:rsidRPr="005A31D7" w:rsidRDefault="00BE017C" w:rsidP="00BE017C">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El año 2022 marcó un punto de inflexión con un salto extraordinario hasta 1 104 solicitudes de patente, más del doble que el año anterior. Este “efecto rebote” combinó dos factores clave: por un lado, la presentación acumulada de solicitudes rezagadas durante los peores meses de la pandemia, y por otro, un fuerte impulso a tecnologías directamente vinculadas al COVID-19 (equipos de diagnóstico rápido, dispositivos de protección personal, soluciones de telemedicina y desarrollos biotecnológicos). Además, la adopción masiva de herramientas digitales para la gestión de propiedad intelectual facilitó trámites más ágiles y elevó el volumen de registros.</w:t>
      </w:r>
    </w:p>
    <w:p w14:paraId="21A80582" w14:textId="77777777" w:rsidR="00051F70" w:rsidRPr="005A31D7" w:rsidRDefault="00BE017C" w:rsidP="00BE017C">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En el mapa geográfico de la innovación, Bogotá D.C. continúa liderando con 2 793 solicitudes, seguida por Antioquia (1 170) y Valle del Cauca (529). Santander, con 394 solicitudes, mantiene su cuarto lugar, aportando cerca del 7 % de las patentes de los tres primeros polos. </w:t>
      </w:r>
    </w:p>
    <w:p w14:paraId="11D5A5CA" w14:textId="3B35FFED" w:rsidR="00E77383" w:rsidRPr="005A31D7" w:rsidRDefault="00BE017C" w:rsidP="00BE017C">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En cuanto a la composición sectorial, la industria química acapara el 29 % de las patentes nacionales, seguida de la ingeniería mecánica (25 %), la instrumentación (18 %) —con 742 registros en instrumentación médica— y la electricidad/electrónica (12 %). Los productos farmacéuticos y la biotecnología suman otro 6 %, posicionando a la innovación sanitaria como un segmento estratégico.</w:t>
      </w:r>
    </w:p>
    <w:p w14:paraId="51D2684D" w14:textId="29DF60CB" w:rsidR="00051F70" w:rsidRPr="005A31D7" w:rsidRDefault="00051F70" w:rsidP="00051F70">
      <w:pPr>
        <w:pStyle w:val="Descripcin"/>
        <w:keepNext/>
        <w:spacing w:line="360" w:lineRule="auto"/>
        <w:rPr>
          <w:rFonts w:ascii="Times New Roman" w:hAnsi="Times New Roman" w:cs="Times New Roman"/>
          <w:i w:val="0"/>
          <w:iCs w:val="0"/>
          <w:color w:val="auto"/>
          <w:sz w:val="24"/>
          <w:szCs w:val="24"/>
          <w:lang w:val="es-CO"/>
        </w:rPr>
      </w:pPr>
      <w:bookmarkStart w:id="3" w:name="_Toc203941108"/>
      <w:r w:rsidRPr="005A31D7">
        <w:rPr>
          <w:rFonts w:ascii="Times New Roman" w:hAnsi="Times New Roman" w:cs="Times New Roman"/>
          <w:b/>
          <w:bCs/>
          <w:i w:val="0"/>
          <w:iCs w:val="0"/>
          <w:color w:val="auto"/>
          <w:sz w:val="24"/>
          <w:szCs w:val="24"/>
          <w:lang w:val="es-CO"/>
        </w:rPr>
        <w:lastRenderedPageBreak/>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3</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i w:val="0"/>
          <w:iCs w:val="0"/>
          <w:color w:val="auto"/>
          <w:sz w:val="24"/>
          <w:szCs w:val="24"/>
          <w:lang w:val="es-CO"/>
        </w:rPr>
        <w:t xml:space="preserve"> </w:t>
      </w:r>
      <w:r w:rsidRPr="005A31D7">
        <w:rPr>
          <w:rFonts w:ascii="Times New Roman" w:hAnsi="Times New Roman" w:cs="Times New Roman"/>
          <w:i w:val="0"/>
          <w:iCs w:val="0"/>
          <w:color w:val="auto"/>
          <w:sz w:val="24"/>
          <w:szCs w:val="24"/>
          <w:lang w:val="es-CO"/>
        </w:rPr>
        <w:br/>
      </w:r>
      <w:r w:rsidRPr="005A31D7">
        <w:rPr>
          <w:rFonts w:ascii="Times New Roman" w:hAnsi="Times New Roman" w:cs="Times New Roman"/>
          <w:color w:val="auto"/>
          <w:sz w:val="24"/>
          <w:szCs w:val="24"/>
          <w:lang w:val="es-CO"/>
        </w:rPr>
        <w:t>Panorama de solicitudes de patentes en Santander</w:t>
      </w:r>
      <w:bookmarkEnd w:id="3"/>
      <w:r w:rsidR="00521AC0" w:rsidRPr="005A31D7">
        <w:rPr>
          <w:rFonts w:ascii="Times New Roman" w:hAnsi="Times New Roman" w:cs="Times New Roman"/>
          <w:color w:val="auto"/>
          <w:sz w:val="24"/>
          <w:szCs w:val="24"/>
          <w:lang w:val="es-CO"/>
        </w:rPr>
        <w:t xml:space="preserve"> por año y departamento</w:t>
      </w:r>
    </w:p>
    <w:p w14:paraId="322DDD32" w14:textId="1FD5C0B8" w:rsidR="00051F70" w:rsidRPr="005A31D7" w:rsidRDefault="00051F70" w:rsidP="00051F70">
      <w:pPr>
        <w:spacing w:line="480" w:lineRule="auto"/>
        <w:ind w:firstLine="720"/>
        <w:jc w:val="center"/>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227528CF" wp14:editId="30938EB3">
            <wp:extent cx="4740566" cy="2665379"/>
            <wp:effectExtent l="0" t="0" r="3175" b="1905"/>
            <wp:docPr id="20279706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970655" name=""/>
                    <pic:cNvPicPr/>
                  </pic:nvPicPr>
                  <pic:blipFill>
                    <a:blip r:embed="rId10"/>
                    <a:stretch>
                      <a:fillRect/>
                    </a:stretch>
                  </pic:blipFill>
                  <pic:spPr>
                    <a:xfrm>
                      <a:off x="0" y="0"/>
                      <a:ext cx="4753697" cy="2672762"/>
                    </a:xfrm>
                    <a:prstGeom prst="rect">
                      <a:avLst/>
                    </a:prstGeom>
                  </pic:spPr>
                </pic:pic>
              </a:graphicData>
            </a:graphic>
          </wp:inline>
        </w:drawing>
      </w:r>
    </w:p>
    <w:p w14:paraId="2152D4BA" w14:textId="25B5CF2D" w:rsidR="00521AC0" w:rsidRPr="005A31D7" w:rsidRDefault="00521AC0" w:rsidP="00521AC0">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rPr>
        <w:fldChar w:fldCharType="separate"/>
      </w:r>
      <w:r w:rsidRPr="005A31D7">
        <w:rPr>
          <w:rFonts w:ascii="Times New Roman" w:hAnsi="Times New Roman" w:cs="Times New Roman"/>
          <w:b/>
          <w:bCs/>
          <w:i w:val="0"/>
          <w:iCs w:val="0"/>
          <w:noProof/>
          <w:color w:val="auto"/>
          <w:sz w:val="24"/>
          <w:szCs w:val="24"/>
          <w:lang w:val="es-CO"/>
        </w:rPr>
        <w:t>4</w:t>
      </w:r>
      <w:r w:rsidRPr="005A31D7">
        <w:rPr>
          <w:rFonts w:ascii="Times New Roman" w:hAnsi="Times New Roman" w:cs="Times New Roman"/>
          <w:b/>
          <w:bCs/>
          <w:i w:val="0"/>
          <w:iCs w:val="0"/>
          <w:color w:val="auto"/>
          <w:sz w:val="24"/>
          <w:szCs w:val="24"/>
        </w:rPr>
        <w:fldChar w:fldCharType="end"/>
      </w:r>
      <w:r w:rsidRPr="005A31D7">
        <w:rPr>
          <w:rFonts w:ascii="Times New Roman" w:hAnsi="Times New Roman" w:cs="Times New Roman"/>
          <w:b/>
          <w:bCs/>
          <w:i w:val="0"/>
          <w:iCs w:val="0"/>
          <w:color w:val="auto"/>
          <w:sz w:val="24"/>
          <w:szCs w:val="24"/>
          <w:lang w:val="es-CO"/>
        </w:rPr>
        <w:t xml:space="preserve">. </w:t>
      </w:r>
      <w:r w:rsidRPr="005A31D7">
        <w:rPr>
          <w:rFonts w:ascii="Times New Roman" w:hAnsi="Times New Roman" w:cs="Times New Roman"/>
          <w:b/>
          <w:bCs/>
          <w:i w:val="0"/>
          <w:iCs w:val="0"/>
          <w:color w:val="auto"/>
          <w:sz w:val="24"/>
          <w:szCs w:val="24"/>
          <w:lang w:val="es-CO"/>
        </w:rPr>
        <w:br/>
      </w:r>
      <w:r w:rsidRPr="005A31D7">
        <w:rPr>
          <w:rFonts w:ascii="Times New Roman" w:hAnsi="Times New Roman" w:cs="Times New Roman"/>
          <w:color w:val="auto"/>
          <w:sz w:val="24"/>
          <w:szCs w:val="24"/>
          <w:lang w:val="es-CO"/>
        </w:rPr>
        <w:t>Panorama de solicitudes de patentes en Santander por área tecnológica</w:t>
      </w:r>
    </w:p>
    <w:p w14:paraId="664F1262" w14:textId="3358EF89"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75EA21E0" wp14:editId="2821B3F6">
            <wp:extent cx="5943600" cy="3274060"/>
            <wp:effectExtent l="0" t="0" r="0" b="2540"/>
            <wp:docPr id="628739806" name="Imagen 1" descr="Gráfico, Gráfico de rectángul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739806" name="Imagen 1" descr="Gráfico, Gráfico de rectángulos&#10;&#10;Descripción generada automáticamente"/>
                    <pic:cNvPicPr/>
                  </pic:nvPicPr>
                  <pic:blipFill>
                    <a:blip r:embed="rId11"/>
                    <a:stretch>
                      <a:fillRect/>
                    </a:stretch>
                  </pic:blipFill>
                  <pic:spPr>
                    <a:xfrm>
                      <a:off x="0" y="0"/>
                      <a:ext cx="5943600" cy="3274060"/>
                    </a:xfrm>
                    <a:prstGeom prst="rect">
                      <a:avLst/>
                    </a:prstGeom>
                  </pic:spPr>
                </pic:pic>
              </a:graphicData>
            </a:graphic>
          </wp:inline>
        </w:drawing>
      </w:r>
    </w:p>
    <w:p w14:paraId="6E2807A1" w14:textId="531793D0"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Tras analizar la evolución del patentamiento en Colombia y el efecto catalizador de la pandemia sobre la innovación sanitaria, conviene dirigir la mirada al departamento de Santander para contrastar dinámicas locales con las del conjunto nacional. Entre los años 2000 y 2015, Santander mostró un crecimiento paulatino y contenido, pasando de apenas cinco solicitudes en el año 2000 a ocho en 2015, con oscilaciones anuales que rara vez superaban la decena. Este comportamiento reflejaba un ecosistema en formación, con capacidades emergentes en química, mecánica e instrumentación, pero aún sin la masa crítica necesaria para impulsar picos significativos.</w:t>
      </w:r>
    </w:p>
    <w:p w14:paraId="39D4E6E6" w14:textId="77777777"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El punto de inflexión se produjo en 2016, cuando las solicitudes se dispararon a 46, dando inicio a un trienio de cifras superiores a 30 registros al año (34 en 2017 y 36 en 2018). Este auge anticipó la capacidad de Santander para escalar sus procesos de I+D+i, aunque siguió un año de estabilización en 2019, con 33 solicitudes. La llegada de la pandemia en 2020 interrumpió esa tendencia: las cifras descendieron a 26, evidenciando la contracción temporal de la actividad investigativa ante los confinamientos y el redireccionamiento de recursos a la emergencia sanitaria.</w:t>
      </w:r>
    </w:p>
    <w:p w14:paraId="30CD5CED" w14:textId="77777777"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Lejos de prolongarse, la merma de 2020 dio paso en 2021 a una ligera recuperación (29 solicitudes) y en 2022 a un extraordinario rebote con 63 registros, más del doble que el año anterior. Este salto coincidió con la acumulación de expedientes postergados durante los meses más críticos del COVID-19 y con un renovado énfasis en tecnologías médicas, biotecnológicas y de protección frente al virus, alineándose con la tendencia nacional de fuerte impulso sanitario. En 2023 y 2024, las cifras retornaron a niveles más moderados (10 y 12 solicitudes, respectivamente), lo que sugiere que, si bien el repunte fue puntual, el ecosistema local aún debe afianzar las bases para sostener un crecimiento continuo.</w:t>
      </w:r>
    </w:p>
    <w:p w14:paraId="397807DB" w14:textId="77777777"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La composición sectorial de Santander refuerza esta narrativa. De las 464 solicitudes totales registradas hasta 2024, la química lidera con 177 patentes, destacando especialmente química de materiales e ingeniería química. La ingeniería mecánica aporta 116 registros, con un fuerte componente en maquinaria especial y manipulación de materiales, mientras que la instrumentación suma 84, liderada por tecnología médica e instrumentos de medida. Los sectores de electricidad y electrónica ocupan 65 solicitudes, y los emergentes de tecnologías verdes (92) y TIC (43) ganan presencia desde 2015, mostrando la diversificación tecnológica de la región.</w:t>
      </w:r>
    </w:p>
    <w:p w14:paraId="7545B4A4" w14:textId="3513B488" w:rsidR="00051F70" w:rsidRPr="005A31D7" w:rsidRDefault="00051F70" w:rsidP="00051F7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En conjunto, Santander demuestra haber madurado como actor de innovación, con fortalezas claras en química aplicada, maquinaria e instrumentación médica. No obstante, su ritmo de crecimiento ha sido inferior al de los principales polos nacionales y ha dependido en buena medida de estímulos puntuales, como la crisis del COVID-19. Para convertir este potencial latente en un flujo sostenido de transferencia tecnológica, es preciso consolidar alianzas público–privadas y programas de cofinanciación en biotecnología clínica, software médico y micro/nanotecnologías diagnósticas; estrechar la colaboración universidad–empresa; y establecer incentivos fiscales y formativos dirigidos a jóvenes investigadores en TIC de salud y tecnologías verdes. Solo así Santander podrá afianzar su ecosistema y mantener un crecimiento consistente más allá de los ciclos de crisis.</w:t>
      </w:r>
    </w:p>
    <w:p w14:paraId="5D30F438" w14:textId="54F6467B" w:rsidR="00051F70" w:rsidRPr="005A31D7" w:rsidRDefault="00521AC0" w:rsidP="00521AC0">
      <w:pPr>
        <w:pStyle w:val="Ttulo1"/>
        <w:numPr>
          <w:ilvl w:val="0"/>
          <w:numId w:val="5"/>
        </w:numPr>
        <w:rPr>
          <w:rFonts w:cs="Times New Roman"/>
          <w:szCs w:val="24"/>
          <w:lang w:val="es-CO"/>
        </w:rPr>
      </w:pPr>
      <w:bookmarkStart w:id="4" w:name="_Toc204730253"/>
      <w:r w:rsidRPr="005A31D7">
        <w:rPr>
          <w:rFonts w:cs="Times New Roman"/>
          <w:szCs w:val="24"/>
          <w:lang w:val="es-CO"/>
        </w:rPr>
        <w:lastRenderedPageBreak/>
        <w:t>Análisis de solicitudes de patentes en el área de Tecnología Médica</w:t>
      </w:r>
      <w:bookmarkEnd w:id="4"/>
    </w:p>
    <w:p w14:paraId="17A654DC" w14:textId="77777777" w:rsidR="00521AC0" w:rsidRPr="005A31D7" w:rsidRDefault="00521AC0" w:rsidP="00CA6BA0">
      <w:pPr>
        <w:pStyle w:val="Descripcin"/>
        <w:keepNext/>
        <w:spacing w:line="360" w:lineRule="auto"/>
        <w:rPr>
          <w:rFonts w:ascii="Times New Roman" w:hAnsi="Times New Roman" w:cs="Times New Roman"/>
          <w:b/>
          <w:bCs/>
          <w:i w:val="0"/>
          <w:iCs w:val="0"/>
          <w:color w:val="auto"/>
          <w:sz w:val="24"/>
          <w:szCs w:val="24"/>
          <w:lang w:val="es-CO"/>
        </w:rPr>
      </w:pPr>
      <w:bookmarkStart w:id="5" w:name="_Toc203941109"/>
    </w:p>
    <w:p w14:paraId="631097FC" w14:textId="4901A528" w:rsidR="00CA6BA0" w:rsidRPr="005A31D7" w:rsidRDefault="00CA6BA0" w:rsidP="00CA6BA0">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5</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Solicitudes de patentes en el área de Tecnología Médica en Colombia</w:t>
      </w:r>
      <w:bookmarkEnd w:id="5"/>
    </w:p>
    <w:p w14:paraId="2223FD86" w14:textId="497397D5" w:rsidR="00E77383" w:rsidRPr="005A31D7" w:rsidRDefault="00E77383">
      <w:pPr>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7294A53C" wp14:editId="05806C09">
            <wp:extent cx="5943600" cy="3850005"/>
            <wp:effectExtent l="0" t="0" r="0" b="0"/>
            <wp:docPr id="10235775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577532" name=""/>
                    <pic:cNvPicPr/>
                  </pic:nvPicPr>
                  <pic:blipFill>
                    <a:blip r:embed="rId12"/>
                    <a:stretch>
                      <a:fillRect/>
                    </a:stretch>
                  </pic:blipFill>
                  <pic:spPr>
                    <a:xfrm>
                      <a:off x="0" y="0"/>
                      <a:ext cx="5943600" cy="3850005"/>
                    </a:xfrm>
                    <a:prstGeom prst="rect">
                      <a:avLst/>
                    </a:prstGeom>
                  </pic:spPr>
                </pic:pic>
              </a:graphicData>
            </a:graphic>
          </wp:inline>
        </w:drawing>
      </w:r>
    </w:p>
    <w:p w14:paraId="40A054B0" w14:textId="77777777" w:rsidR="00CA6BA0" w:rsidRPr="005A31D7" w:rsidRDefault="00CA6BA0" w:rsidP="00CA6BA0">
      <w:pPr>
        <w:spacing w:line="480" w:lineRule="auto"/>
        <w:ind w:firstLine="720"/>
        <w:jc w:val="both"/>
        <w:rPr>
          <w:rFonts w:ascii="Times New Roman" w:hAnsi="Times New Roman" w:cs="Times New Roman"/>
          <w:sz w:val="24"/>
          <w:szCs w:val="24"/>
          <w:lang w:val="es-CO"/>
        </w:rPr>
      </w:pPr>
    </w:p>
    <w:p w14:paraId="7725794D" w14:textId="3B18C73D" w:rsidR="00CA6BA0" w:rsidRPr="005A31D7" w:rsidRDefault="00CA6BA0" w:rsidP="00CA6BA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Ahora, es preciso analizar el área de tecnología médica, en la cual, a lo largo de las dos primeras décadas del siglo XXI, la instrumentación médica en Colombia transitó de un papel casi marginal —con menos de diez solicitudes anuales entre 2000 y 2005— a consolidarse como uno de los ejes centrales de la innovación sanitaria. Varios acontecimientos nacionales han dejado huella en estas cifras. La promulgación de la Ley 1286 de 2009 —que creó el Sistema Nacional de Ciencia, Tecnología e Innovación (SNCTI)— y el fortalecimiento de Colciencias con mayores recursos para investigación se tradujeron en un repunte inicial hacia 2012–2014. Tras un lento </w:t>
      </w:r>
      <w:r w:rsidRPr="005A31D7">
        <w:rPr>
          <w:rFonts w:ascii="Times New Roman" w:hAnsi="Times New Roman" w:cs="Times New Roman"/>
          <w:sz w:val="24"/>
          <w:szCs w:val="24"/>
          <w:lang w:val="es-CO"/>
        </w:rPr>
        <w:lastRenderedPageBreak/>
        <w:t xml:space="preserve">ascenso que condujo a 22 registros en 2012 y 37 en 2015, el sector experimentó un punto de quiebre en 2016 con 46 solicitudes, impulsado por el incremento de proyectos de equipos de diagnóstico y tecnologías de monitoreo clínico. Este crecimiento se mantuvo relativamente estable entre 2017 y 2020, oscilando entre 46 y 58 solicitudes anuales, lo que refleja la madurez de las capacidades locales para desarrollar y patentar nuevos dispositivos médicos. </w:t>
      </w:r>
    </w:p>
    <w:p w14:paraId="1149C06B" w14:textId="77777777" w:rsidR="00CA6BA0" w:rsidRPr="005A31D7" w:rsidRDefault="00CA6BA0" w:rsidP="00CA6BA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La llegada de la pandemia de COVID-19 tensionó de manera particular la dinámica de la instrumentación médica. En 2021 ya se había elevado a 71 el número de patentes, anticipando el fuerte “efecto rebote” que se materializó en 2022 con 152 registros, más del doble de los obtenidos en el año previo. Esta explosión responde, por un lado, al cúmulo de expedientes frenados durante los confinamientos y, por otro, a un giro estratégico del sector hacia soluciones de emergencia: ventiladores automáticos, sistemas de monitoreo remoto, pruebas de diagnóstico rápido y dispositivos de protección innovadores. A partir de 2023 las cifras retrocedieron hacia un nivel más habitual (35 en 2023 y 32 en 2024), indicando que la urgencia pandémica concentró buena parte de la creatividad y los recursos técnicos en un lapso corto.</w:t>
      </w:r>
    </w:p>
    <w:p w14:paraId="7C59C82D" w14:textId="77777777" w:rsidR="00CA6BA0" w:rsidRPr="005A31D7" w:rsidRDefault="00CA6BA0" w:rsidP="00CA6BA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En el ámbito territorial, Bogotá D.C. domina abrumadoramente esta área con 250 solicitudes, seguida por Antioquia (169), Valle del Cauca (72) y Atlántico (64). Santander, con 46 registros, ocupa el quinto lugar nacional; su participación —cerca del 6 % del total— revela una presencia significativa pero aún alejada de los grandes polos de instrumentación médica. Este posicionamiento sugiere que, aunque la región ha fortalecido sus laboratorios y capacidades de prototipado, su ecosistema tecnológico requiere alianzas más intensas con centros de investigación de alto nivel y mayor inversión para escalar proyectos hacia la producción industrial.</w:t>
      </w:r>
    </w:p>
    <w:p w14:paraId="38AB4F6F" w14:textId="013251C9" w:rsidR="00E77383" w:rsidRPr="005A31D7" w:rsidRDefault="00CA6BA0" w:rsidP="00CA6BA0">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El análisis de la evolución de la instrumentación médica en Colombia permite extraer dos conclusiones clave para el departamento de Santander. Primero, el notable repunte de 2022 </w:t>
      </w:r>
      <w:r w:rsidRPr="005A31D7">
        <w:rPr>
          <w:rFonts w:ascii="Times New Roman" w:hAnsi="Times New Roman" w:cs="Times New Roman"/>
          <w:sz w:val="24"/>
          <w:szCs w:val="24"/>
          <w:lang w:val="es-CO"/>
        </w:rPr>
        <w:lastRenderedPageBreak/>
        <w:t>demuestra que, ante un desafío de salud pública, la movilidad del conocimiento y la agilidad de los procesos de patentamiento pueden acelerar dramáticamente la innovación. Segundo, la posterior estabilización enseña que, sin un entorno de apoyo continuo —financiamiento permanente, formación especializada y vínculos universitarios—, los picos de creatividad tienden a diluirse. Por ello, es esencial diseñar políticas regionales de acompañamiento técnico y financiero que mantengan vivo el ecosistema de instrumentación médica más allá de las crisis, promoviendo proyectos colaborativos, centros de excelencia en biomateriales y programas de incubación que transformen las capacidades santeñas en productos sanitarios de alto impacto.</w:t>
      </w:r>
    </w:p>
    <w:p w14:paraId="61DDC27F" w14:textId="337F9989" w:rsidR="00CA6BA0" w:rsidRPr="005A31D7" w:rsidRDefault="00CA6BA0" w:rsidP="00CA6BA0">
      <w:pPr>
        <w:pStyle w:val="Descripcin"/>
        <w:keepNext/>
        <w:spacing w:line="360" w:lineRule="auto"/>
        <w:rPr>
          <w:rFonts w:ascii="Times New Roman" w:hAnsi="Times New Roman" w:cs="Times New Roman"/>
          <w:color w:val="auto"/>
          <w:sz w:val="24"/>
          <w:szCs w:val="24"/>
          <w:lang w:val="es-CO"/>
        </w:rPr>
      </w:pPr>
      <w:bookmarkStart w:id="6" w:name="_Toc203941110"/>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6</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Solicitudes de patentes en el área de Tecnología Médica en Santander</w:t>
      </w:r>
      <w:bookmarkEnd w:id="6"/>
    </w:p>
    <w:p w14:paraId="137B64D2" w14:textId="77777777" w:rsidR="00CA6BA0" w:rsidRPr="005A31D7" w:rsidRDefault="00CA6BA0" w:rsidP="00CA6BA0">
      <w:pPr>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7FD7883A" wp14:editId="0A922544">
            <wp:extent cx="5363845" cy="1965600"/>
            <wp:effectExtent l="0" t="0" r="8255" b="0"/>
            <wp:docPr id="383142072" name="Imagen 1"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142072" name="Imagen 1" descr="Gráfico&#10;&#10;Descripción generada automáticamente"/>
                    <pic:cNvPicPr/>
                  </pic:nvPicPr>
                  <pic:blipFill rotWithShape="1">
                    <a:blip r:embed="rId13"/>
                    <a:srcRect b="43963"/>
                    <a:stretch/>
                  </pic:blipFill>
                  <pic:spPr bwMode="auto">
                    <a:xfrm>
                      <a:off x="0" y="0"/>
                      <a:ext cx="5367415" cy="1966908"/>
                    </a:xfrm>
                    <a:prstGeom prst="rect">
                      <a:avLst/>
                    </a:prstGeom>
                    <a:ln>
                      <a:noFill/>
                    </a:ln>
                    <a:extLst>
                      <a:ext uri="{53640926-AAD7-44D8-BBD7-CCE9431645EC}">
                        <a14:shadowObscured xmlns:a14="http://schemas.microsoft.com/office/drawing/2010/main"/>
                      </a:ext>
                    </a:extLst>
                  </pic:spPr>
                </pic:pic>
              </a:graphicData>
            </a:graphic>
          </wp:inline>
        </w:drawing>
      </w:r>
    </w:p>
    <w:p w14:paraId="0400A370" w14:textId="77777777" w:rsidR="00643EB2" w:rsidRPr="005A31D7" w:rsidRDefault="00643EB2" w:rsidP="00643EB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En el contexto de la instrumentación médica nacional, el comportamiento de Santander confirma las dinámicas regionales a menor escala: entre 2001 y 2013 las solicitudes locales se mantuvieron casi testimoniales, con apenas una o dos presentaciones al año, reflejo de una capacidad incipiente de I+D en tecnologías sanitarias. A partir de 2014 comenzó un despegue gradual —cinco solicitudes en 2016, cuatro en 2017 y seis en 2018— que anticipó el fortalecimiento de laboratorios y grupos de investigación en biomédica. El año 2019 registró cuatro patentes, seguida de una contracción a dos en 2020, cuando la pandemia desvió recursos y </w:t>
      </w:r>
      <w:r w:rsidRPr="005A31D7">
        <w:rPr>
          <w:rFonts w:ascii="Times New Roman" w:hAnsi="Times New Roman" w:cs="Times New Roman"/>
          <w:sz w:val="24"/>
          <w:szCs w:val="24"/>
          <w:lang w:val="es-CO"/>
        </w:rPr>
        <w:lastRenderedPageBreak/>
        <w:t>pausó proyectos, y de nuevo dos en 2021. Sin embargo, al igual que a nivel nacional, Santander vivió en 2022 un “efecto rebote” con nueve solicitudes, impulsado por desarrollos locales de equipos de diagnóstico, monitorización remota y soluciones de protección, fruto de la acumulación de expedientes retrasados y del énfasis estratégico en la respuesta al SARS-CoV-2. En 2023 y 2024 las cifras regresaron a niveles más discretos —dos y una solicitud, respectivamente—, indicando que, sin mecanismos de apoyo sostenido, los picos de innovación tienden a diluirse tras la emergencia.</w:t>
      </w:r>
    </w:p>
    <w:p w14:paraId="73BB5B03" w14:textId="611D872C" w:rsidR="00E77383" w:rsidRPr="005A31D7" w:rsidRDefault="00643EB2" w:rsidP="00643EB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Geográficamente, Bucaramanga concentra el 67 % de las patentes de tecnología médica en el departamento (31 de 46), seguida por Floridablanca con 10 registros y, a mucha distancia, Barrancabermeja, Girón, Los Santos y San Gil. Esta alta concentración urbana evidencia tanto la fortaleza del ecosistema universitario y hospitalario en la capital como la necesidad de diversificar capacidades en otros municipios. Para transformar los picos puntuales en un crecimiento continuo, sería recomendable que Santander consolidara polos de innovación en ciudades intermedias —apoyando incubadoras de tecnología médica en Floridablanca y Barrancabermeja— y fomentar programas de transferencia entre los hospitales regionales y las facultades y programas de ingeniería biomédica, de las diferentes Universidades. Sólo así podrá mantener viva la curva ascendente de la instrumentación médica más allá de las crisis sanitarias y alinearse con el impulso observado a nivel nacional.</w:t>
      </w:r>
    </w:p>
    <w:p w14:paraId="12049439" w14:textId="3CF99E32" w:rsidR="00521AC0" w:rsidRPr="005A31D7" w:rsidRDefault="00521AC0" w:rsidP="00521AC0">
      <w:pPr>
        <w:pStyle w:val="Ttulo1"/>
        <w:numPr>
          <w:ilvl w:val="0"/>
          <w:numId w:val="5"/>
        </w:numPr>
        <w:rPr>
          <w:rFonts w:cs="Times New Roman"/>
          <w:szCs w:val="24"/>
          <w:lang w:val="es-CO"/>
        </w:rPr>
      </w:pPr>
      <w:bookmarkStart w:id="7" w:name="_Toc203941111"/>
      <w:bookmarkStart w:id="8" w:name="_Toc204730254"/>
      <w:r w:rsidRPr="005A31D7">
        <w:rPr>
          <w:rFonts w:cs="Times New Roman"/>
          <w:szCs w:val="24"/>
          <w:lang w:val="es-CO"/>
        </w:rPr>
        <w:t>Análisis de solicitudes de patentes en el área de Productos Farmacéuticos</w:t>
      </w:r>
      <w:bookmarkEnd w:id="8"/>
    </w:p>
    <w:p w14:paraId="4F36B6F6" w14:textId="77777777" w:rsidR="00521AC0" w:rsidRPr="005A31D7" w:rsidRDefault="00521AC0" w:rsidP="00521AC0">
      <w:pPr>
        <w:rPr>
          <w:rFonts w:ascii="Times New Roman" w:hAnsi="Times New Roman" w:cs="Times New Roman"/>
          <w:sz w:val="24"/>
          <w:szCs w:val="24"/>
          <w:lang w:val="es-CO"/>
        </w:rPr>
      </w:pPr>
    </w:p>
    <w:p w14:paraId="0E94A2F4" w14:textId="0D504A96" w:rsidR="008101D4" w:rsidRPr="005A31D7" w:rsidRDefault="008101D4" w:rsidP="008101D4">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lastRenderedPageBreak/>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7</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br/>
        <w:t>Solicitudes de patentes en el área de Productos Farmacéuticos en Colombia</w:t>
      </w:r>
      <w:bookmarkEnd w:id="7"/>
    </w:p>
    <w:p w14:paraId="792A6F14" w14:textId="349DC762" w:rsidR="008101D4" w:rsidRPr="005A31D7" w:rsidRDefault="008101D4" w:rsidP="008101D4">
      <w:pPr>
        <w:spacing w:line="480" w:lineRule="auto"/>
        <w:jc w:val="both"/>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63E3AD14" wp14:editId="4F493E04">
            <wp:extent cx="5943600" cy="3888740"/>
            <wp:effectExtent l="0" t="0" r="0" b="0"/>
            <wp:docPr id="9687049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704967" name=""/>
                    <pic:cNvPicPr/>
                  </pic:nvPicPr>
                  <pic:blipFill>
                    <a:blip r:embed="rId14"/>
                    <a:stretch>
                      <a:fillRect/>
                    </a:stretch>
                  </pic:blipFill>
                  <pic:spPr>
                    <a:xfrm>
                      <a:off x="0" y="0"/>
                      <a:ext cx="5943600" cy="3888740"/>
                    </a:xfrm>
                    <a:prstGeom prst="rect">
                      <a:avLst/>
                    </a:prstGeom>
                  </pic:spPr>
                </pic:pic>
              </a:graphicData>
            </a:graphic>
          </wp:inline>
        </w:drawing>
      </w:r>
    </w:p>
    <w:p w14:paraId="7E48A0C9" w14:textId="4E4B2345" w:rsidR="008101D4" w:rsidRPr="005A31D7" w:rsidRDefault="008101D4" w:rsidP="008101D4">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Tras observar la evolución de la instrumentación médica en Colombia, conviene ahora adentrarse en el comportamiento de las patentes de productos farmacéuticos para comprender cómo ha variado esta rama crucial de la innovación sanitaria. Entre 2002 y 2006, las solicitudes de patente en Colombia para formulaciones y procesos farmacéuticos crecieron de manera moderada, al pasar de tres registros en 2002 a trece en 2006, un periodo en el que aún se consolidaban las capacidades de investigación de las empresas y universidades nacionales. Luego de una breve meseta entre 2007 y 2010, con cifras que fluctuaron entre cinco y once solicitudes, el sector farmacéutico inició un ascenso más marcado a partir de 2011, alcanzando dieciocho solicitudes en 2014 y veintiuna en 2015, coincidiendo con el fortalecimiento de Colciencias y las primeras convocatorias orientadas específicamente a biotecnología y desarrollo de fármacos.</w:t>
      </w:r>
    </w:p>
    <w:p w14:paraId="064E3625" w14:textId="77777777" w:rsidR="008101D4" w:rsidRPr="005A31D7" w:rsidRDefault="008101D4" w:rsidP="008101D4">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lastRenderedPageBreak/>
        <w:t>El año 2016 marcó un punto de inflexión, cuando las patentes farmacéuticas se dispararon a treinta y dos, impulsadas por incentivos derivados de los tratados de libre comercio con Estados Unidos y la Unión Europea, que exigían estándares más rigurosos de protección intelectual. Tras un ajuste en 2017, con doce registros, el sector retomó ritmos de crecimiento constantes entre 2018 y 2021, oscilando entre catorce y veintinueve solicitudes anuales. Durante este periodo, los laboratorios y grupos de investigación nacionales profundizaron en áreas de formulaciones innovadoras, biológicos de segunda generación y tecnologías de liberación controlada, apoyados por mayores inversiones públicas y privadas en salud.</w:t>
      </w:r>
    </w:p>
    <w:p w14:paraId="23CBF835" w14:textId="77777777" w:rsidR="008101D4" w:rsidRPr="005A31D7" w:rsidRDefault="008101D4" w:rsidP="008101D4">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La irrupción de la pandemia en 2020 provocó una ligera contracción en las solicitudes farmacéuticas: de dieciocho registros en 2020 se pasó a nueve en 2022, reflejo de la reasignación de recursos hacia terapias y vacunas de emergencia, así como de retrasos en trámites y validaciones regulatorias. No obstante, esa reducción temporal fue seguida de una recuperación rápida: en 2023 regresaron dieciocho solicitudes y en 2024 se mantuvo la cifra en un nivel similar, lo que evidencia tanto el “efecto rebote” como la resiliencia del sector para retomar proyectos de innovación puntera en moléculas y procesos farmacéuticos.</w:t>
      </w:r>
    </w:p>
    <w:p w14:paraId="23F6B7F8" w14:textId="3394F864" w:rsidR="008101D4" w:rsidRPr="005A31D7" w:rsidRDefault="008101D4" w:rsidP="008101D4">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En el mapa territorial, Bogotá D.C. concentra la mayor parte de la actividad con 112 patentes, seguida a distancia por Antioquia (56) y Atlántico (39). Santander ocupa el cuarto puesto con 16 solicitudes, posicionándose por delante de Cundinamarca (15) y de departamentos con mayor tradición industrial. Esta proporción –cerca del 5,5 % del total nacional– indica que, si bien la región ha desarrollado capacidades en laboratorios universitarios y empresas emergentes de bioprocesos, aún dispone de un amplio margen de crecimiento. Para robustecer su contribución al desarrollo farmacéutico colombiano, Santander podría reforzar la transferencia de tecnología en biotecnología aplicada, impulsar convenios de investigación colaborativa con centros de </w:t>
      </w:r>
      <w:r w:rsidRPr="005A31D7">
        <w:rPr>
          <w:rFonts w:ascii="Times New Roman" w:hAnsi="Times New Roman" w:cs="Times New Roman"/>
          <w:sz w:val="24"/>
          <w:szCs w:val="24"/>
          <w:lang w:val="es-CO"/>
        </w:rPr>
        <w:lastRenderedPageBreak/>
        <w:t>excelencia y ofrecer estímulos fiscales a proyectos de formulaciones avanzadas y biosimilares. De este modo, el departamento capitalizaría tanto los picos de innovación como las bases generadas durante la crisis sanitaria para consolidar un crecimiento sostenido en el mediano y largo plazo.</w:t>
      </w:r>
    </w:p>
    <w:p w14:paraId="1FF5D283" w14:textId="25DA1120" w:rsidR="008101D4" w:rsidRPr="005A31D7" w:rsidRDefault="008101D4" w:rsidP="008101D4">
      <w:pPr>
        <w:pStyle w:val="Descripcin"/>
        <w:keepNext/>
        <w:spacing w:line="360" w:lineRule="auto"/>
        <w:rPr>
          <w:rFonts w:ascii="Times New Roman" w:hAnsi="Times New Roman" w:cs="Times New Roman"/>
          <w:color w:val="auto"/>
          <w:sz w:val="24"/>
          <w:szCs w:val="24"/>
          <w:lang w:val="es-CO"/>
        </w:rPr>
      </w:pPr>
      <w:bookmarkStart w:id="9" w:name="_Toc203941112"/>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8</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Solicitudes de patentes en el área de Productos Farmacéuticos en Santander</w:t>
      </w:r>
      <w:bookmarkEnd w:id="9"/>
    </w:p>
    <w:p w14:paraId="070FEFD2" w14:textId="3C67C9CD" w:rsidR="008101D4" w:rsidRPr="005A31D7" w:rsidRDefault="008101D4" w:rsidP="008101D4">
      <w:pPr>
        <w:spacing w:line="480" w:lineRule="auto"/>
        <w:jc w:val="both"/>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74B58960" wp14:editId="688B962D">
            <wp:extent cx="5943600" cy="1971040"/>
            <wp:effectExtent l="0" t="0" r="0" b="0"/>
            <wp:docPr id="609545836" name="Imagen 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545836" name="Imagen 1" descr="Gráfico, Gráfico de barras&#10;&#10;Descripción generada automáticamente"/>
                    <pic:cNvPicPr/>
                  </pic:nvPicPr>
                  <pic:blipFill>
                    <a:blip r:embed="rId15"/>
                    <a:stretch>
                      <a:fillRect/>
                    </a:stretch>
                  </pic:blipFill>
                  <pic:spPr>
                    <a:xfrm>
                      <a:off x="0" y="0"/>
                      <a:ext cx="5943600" cy="1971040"/>
                    </a:xfrm>
                    <a:prstGeom prst="rect">
                      <a:avLst/>
                    </a:prstGeom>
                  </pic:spPr>
                </pic:pic>
              </a:graphicData>
            </a:graphic>
          </wp:inline>
        </w:drawing>
      </w:r>
    </w:p>
    <w:p w14:paraId="265CF018" w14:textId="0115D5A9" w:rsidR="008101D4" w:rsidRPr="005A31D7" w:rsidRDefault="008101D4" w:rsidP="008101D4">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En Santander, la dinámica de las patentes farmacéuticas refleja a escala local las tendencias nacionales, pero con un volumen reducido y una fuerte concentración urbana. Entre 2007 y 2014, la región presentó apenas una solicitud en cada uno de los años 2007, 2011 y 2014, mostrando un ecosistema aún incipiente en bioprocesos y formulaciones. A partir de 2016 se observó un despegue inicial —dos patentes— que culminó en un pico de seis registros en 2017, alineado con el impulso de políticas de protección intelectual tras los tratados de libre comercio y las convocatorias de Colciencias. Tras este máximo, las cifras cayeron a un solo registro en 2018 y otro en 2020, </w:t>
      </w:r>
      <w:r w:rsidR="00327D59" w:rsidRPr="005A31D7">
        <w:rPr>
          <w:rFonts w:ascii="Times New Roman" w:hAnsi="Times New Roman" w:cs="Times New Roman"/>
          <w:sz w:val="24"/>
          <w:szCs w:val="24"/>
          <w:lang w:val="es-CO"/>
        </w:rPr>
        <w:t>coincidiendo</w:t>
      </w:r>
      <w:r w:rsidRPr="005A31D7">
        <w:rPr>
          <w:rFonts w:ascii="Times New Roman" w:hAnsi="Times New Roman" w:cs="Times New Roman"/>
          <w:sz w:val="24"/>
          <w:szCs w:val="24"/>
          <w:lang w:val="es-CO"/>
        </w:rPr>
        <w:t xml:space="preserve"> con la reasignación de recursos durante la emergencia sanitaria, y repuntaron levemente a dos solicitudes en 2021, para terminar en una patente en 2022. De las 16 patentes totales de productos farmacéuticos que acumula Santander hasta 2022, Bucaramanga acapara 14, mientras que Floridablanca y Barrancabermeja aportan la cifra restante, lo que subraya la necesidad de descentralizar la capacidad de innovación hacia otros municipios. Este patrón </w:t>
      </w:r>
      <w:r w:rsidRPr="005A31D7">
        <w:rPr>
          <w:rFonts w:ascii="Times New Roman" w:hAnsi="Times New Roman" w:cs="Times New Roman"/>
          <w:sz w:val="24"/>
          <w:szCs w:val="24"/>
          <w:lang w:val="es-CO"/>
        </w:rPr>
        <w:lastRenderedPageBreak/>
        <w:t>sugiere que, aunque la región ha sido capaz de responder con impulsos puntuales —especialmente en 2017 y durante el rebote post-COVID—, es imprescindible fomentar esquemas de apoyo continuo, tales como alianzas entre laboratorios universitarios y empresas locales, estímulos fiscales para I+D y la creación de incubadoras en ciudades intermedias, con el fin de convertir estos picos aislados en un crecimiento sostenido de la innovación farmacéutica regional.</w:t>
      </w:r>
    </w:p>
    <w:p w14:paraId="3DB26326" w14:textId="299D18D6" w:rsidR="00521AC0" w:rsidRPr="005A31D7" w:rsidRDefault="00521AC0" w:rsidP="00521AC0">
      <w:pPr>
        <w:pStyle w:val="Ttulo1"/>
        <w:numPr>
          <w:ilvl w:val="0"/>
          <w:numId w:val="5"/>
        </w:numPr>
        <w:rPr>
          <w:rFonts w:cs="Times New Roman"/>
          <w:szCs w:val="24"/>
          <w:lang w:val="es-CO"/>
        </w:rPr>
      </w:pPr>
      <w:bookmarkStart w:id="10" w:name="_Toc204730255"/>
      <w:r w:rsidRPr="005A31D7">
        <w:rPr>
          <w:rFonts w:cs="Times New Roman"/>
          <w:szCs w:val="24"/>
          <w:lang w:val="es-CO"/>
        </w:rPr>
        <w:t>Análisis de solicitudes de patentes en el área de Biotecnología</w:t>
      </w:r>
      <w:bookmarkEnd w:id="10"/>
    </w:p>
    <w:p w14:paraId="6C6A9221" w14:textId="77777777" w:rsidR="00521AC0" w:rsidRPr="005A31D7" w:rsidRDefault="00521AC0" w:rsidP="00327D59">
      <w:pPr>
        <w:pStyle w:val="Descripcin"/>
        <w:keepNext/>
        <w:spacing w:line="360" w:lineRule="auto"/>
        <w:rPr>
          <w:rFonts w:ascii="Times New Roman" w:hAnsi="Times New Roman" w:cs="Times New Roman"/>
          <w:b/>
          <w:bCs/>
          <w:i w:val="0"/>
          <w:iCs w:val="0"/>
          <w:color w:val="auto"/>
          <w:sz w:val="24"/>
          <w:szCs w:val="24"/>
          <w:lang w:val="es-CO"/>
        </w:rPr>
      </w:pPr>
      <w:bookmarkStart w:id="11" w:name="_Toc203941113"/>
    </w:p>
    <w:p w14:paraId="24BF2C2B" w14:textId="30A7EEAC" w:rsidR="00327D59" w:rsidRPr="005A31D7" w:rsidRDefault="00327D59" w:rsidP="00327D59">
      <w:pPr>
        <w:pStyle w:val="Descripcin"/>
        <w:keepNext/>
        <w:spacing w:line="360" w:lineRule="auto"/>
        <w:rPr>
          <w:rFonts w:ascii="Times New Roman" w:hAnsi="Times New Roman" w:cs="Times New Roman"/>
          <w:color w:val="auto"/>
          <w:sz w:val="24"/>
          <w:szCs w:val="24"/>
          <w:lang w:val="es-CO"/>
        </w:rPr>
      </w:pPr>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9</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t xml:space="preserve"> </w:t>
      </w:r>
      <w:r w:rsidRPr="005A31D7">
        <w:rPr>
          <w:rFonts w:ascii="Times New Roman" w:hAnsi="Times New Roman" w:cs="Times New Roman"/>
          <w:color w:val="auto"/>
          <w:sz w:val="24"/>
          <w:szCs w:val="24"/>
          <w:lang w:val="es-CO"/>
        </w:rPr>
        <w:br/>
        <w:t>Solicitudes de patentes en el área de Biotecnología en Colombia</w:t>
      </w:r>
      <w:bookmarkEnd w:id="11"/>
    </w:p>
    <w:p w14:paraId="015DBEDE" w14:textId="2803D58D" w:rsidR="00327D59" w:rsidRPr="005A31D7" w:rsidRDefault="00327D59" w:rsidP="00327D59">
      <w:pPr>
        <w:spacing w:line="480" w:lineRule="auto"/>
        <w:jc w:val="both"/>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362452EC" wp14:editId="566744BE">
            <wp:extent cx="5943600" cy="3919220"/>
            <wp:effectExtent l="0" t="0" r="0" b="5080"/>
            <wp:docPr id="9720914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091431" name=""/>
                    <pic:cNvPicPr/>
                  </pic:nvPicPr>
                  <pic:blipFill>
                    <a:blip r:embed="rId16"/>
                    <a:stretch>
                      <a:fillRect/>
                    </a:stretch>
                  </pic:blipFill>
                  <pic:spPr>
                    <a:xfrm>
                      <a:off x="0" y="0"/>
                      <a:ext cx="5943600" cy="3919220"/>
                    </a:xfrm>
                    <a:prstGeom prst="rect">
                      <a:avLst/>
                    </a:prstGeom>
                  </pic:spPr>
                </pic:pic>
              </a:graphicData>
            </a:graphic>
          </wp:inline>
        </w:drawing>
      </w:r>
    </w:p>
    <w:p w14:paraId="06EC3E2D" w14:textId="0679268F" w:rsidR="00327D59" w:rsidRPr="005A31D7" w:rsidRDefault="00327D59" w:rsidP="00327D59">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A partir de la década de 2000, la biotecnología en Colombia transitó de un escenario emergente a convertirse en un pilar clave de la innovación sanitaria y agroindustrial. Entre 2003 y 2012, las solicitudes anuales apenas superaban las cinco patentes, fluctuando entre uno y cinco </w:t>
      </w:r>
      <w:r w:rsidRPr="005A31D7">
        <w:rPr>
          <w:rFonts w:ascii="Times New Roman" w:hAnsi="Times New Roman" w:cs="Times New Roman"/>
          <w:sz w:val="24"/>
          <w:szCs w:val="24"/>
          <w:lang w:val="es-CO"/>
        </w:rPr>
        <w:lastRenderedPageBreak/>
        <w:t>registros al año. Este ritmo modesto reflejaba un sector en construcción, con esfuerzos dispersos en investigación de microorganismos y procesos fermentativos. Sin embargo, el impulso definitivo llegó en 2015–2017, cuando las convocatorias de Colciencias generaron un salto de 4–5 solicitudes a once en 2015 y 2016, y dieciocho en 2017, consolidando una masa crítica de investigadores y cobertura de infraestructura básica.</w:t>
      </w:r>
    </w:p>
    <w:p w14:paraId="6DB87D2B" w14:textId="77777777" w:rsidR="00327D59" w:rsidRPr="005A31D7" w:rsidRDefault="00327D59" w:rsidP="00327D59">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El tejido biotecnológico colombiano encontró un nuevo impulso con los tratados de libre comercio y la política nacional de bioeconomía lanzada en 2016, que aportaron incentivos fiscales y líneas de crédito para proyectos de bioprocesos, biomateriales y bioinsumos. De 2018 a 2021, el sector se mantuvo robusto, con cifras entre catorce y veinte patentes anuales, fruto de las alianzas público–privadas y del fortalecimiento de centros de investigación en genómica, biorremediación y enzimas de aplicación industrial. La pandemia de COVID-19 aportó luego un componente adicional de urgencia: de 2020 a 2022 las solicitudes crecieron de catorce a veintisiete en 2022, impulsadas por desarrollos en producción de anticuerpos, vacunas recombinantes y bioinsumos para diagnóstico molecular. En 2023 se alcanzó un máximo de cuarenta y cuatro registros, antes de estabilizarse en dieciséis en 2024, evidencia de un rebote tanto por acumulación de trámites como por la expansión de la bioeconomía post-pandémica.</w:t>
      </w:r>
    </w:p>
    <w:p w14:paraId="7011AED0" w14:textId="77777777" w:rsidR="00327D59" w:rsidRPr="005A31D7" w:rsidRDefault="00327D59" w:rsidP="00327D59">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Geográficamente, Bogotá D.C. concentra la mayor parte de la actividad con 100 solicitudes, seguida por Antioquia (27), Cundinamarca (22) y Valle del Cauca (20). Santander, con 17 registros, se sitúa en quinto lugar, aportando cerca del 7 % del total nacional. Esta relevancia regional se ve reforzada en Bucaramanga, que agrupa 13 de las 17 patentes santeñas, mientras que Floridablanca, Barrancabermeja y otros municipios registran cifras residuales. Para traducir este potencial en un crecimiento equilibrado, es crucial diversificar los centros de investigación más </w:t>
      </w:r>
      <w:r w:rsidRPr="005A31D7">
        <w:rPr>
          <w:rFonts w:ascii="Times New Roman" w:hAnsi="Times New Roman" w:cs="Times New Roman"/>
          <w:sz w:val="24"/>
          <w:szCs w:val="24"/>
          <w:lang w:val="es-CO"/>
        </w:rPr>
        <w:lastRenderedPageBreak/>
        <w:t>allá de la capital departamental y articular estrategias de valorización de bioproductos en zonas rurales del departamento.</w:t>
      </w:r>
    </w:p>
    <w:p w14:paraId="0F4474B1" w14:textId="5DBFA065" w:rsidR="00327D59" w:rsidRPr="005A31D7" w:rsidRDefault="00327D59" w:rsidP="00327D59">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El análisis de la evolución biotecnológica en Colombia muestra cómo la combinación de políticas públicas —SNCTI, bioeconomía, tratados de libre comercio— y choques disruptivos como el COVID-19 han moldeado el ritmo de innovación. Para mantener una curva ascendente y coherente en Santander, se recomienda fortalecer la infraestructura de laboratorios de bioseguridad, promover proyectos de biotecnología agroindustrial local y establecer clústeres que integren universidades, cámaras de comercio y empresas biotecnológicas, de modo que la provincia consolide su posición en el mapa nacional de la </w:t>
      </w:r>
      <w:r w:rsidR="00145772" w:rsidRPr="005A31D7">
        <w:rPr>
          <w:rFonts w:ascii="Times New Roman" w:hAnsi="Times New Roman" w:cs="Times New Roman"/>
          <w:sz w:val="24"/>
          <w:szCs w:val="24"/>
          <w:lang w:val="es-CO"/>
        </w:rPr>
        <w:t>biotecnología.</w:t>
      </w:r>
    </w:p>
    <w:p w14:paraId="5BC3A7CD" w14:textId="4DABC699" w:rsidR="00327D59" w:rsidRPr="005A31D7" w:rsidRDefault="00327D59" w:rsidP="00327D59">
      <w:pPr>
        <w:pStyle w:val="Descripcin"/>
        <w:keepNext/>
        <w:spacing w:line="360" w:lineRule="auto"/>
        <w:rPr>
          <w:rFonts w:ascii="Times New Roman" w:hAnsi="Times New Roman" w:cs="Times New Roman"/>
          <w:color w:val="auto"/>
          <w:sz w:val="24"/>
          <w:szCs w:val="24"/>
          <w:lang w:val="es-CO"/>
        </w:rPr>
      </w:pPr>
      <w:bookmarkStart w:id="12" w:name="_Toc203941114"/>
      <w:r w:rsidRPr="005A31D7">
        <w:rPr>
          <w:rFonts w:ascii="Times New Roman" w:hAnsi="Times New Roman" w:cs="Times New Roman"/>
          <w:b/>
          <w:bCs/>
          <w:i w:val="0"/>
          <w:iCs w:val="0"/>
          <w:color w:val="auto"/>
          <w:sz w:val="24"/>
          <w:szCs w:val="24"/>
          <w:lang w:val="es-CO"/>
        </w:rPr>
        <w:t xml:space="preserve">Figura </w:t>
      </w:r>
      <w:r w:rsidRPr="005A31D7">
        <w:rPr>
          <w:rFonts w:ascii="Times New Roman" w:hAnsi="Times New Roman" w:cs="Times New Roman"/>
          <w:b/>
          <w:bCs/>
          <w:i w:val="0"/>
          <w:iCs w:val="0"/>
          <w:color w:val="auto"/>
          <w:sz w:val="24"/>
          <w:szCs w:val="24"/>
          <w:lang w:val="es-CO"/>
        </w:rPr>
        <w:fldChar w:fldCharType="begin"/>
      </w:r>
      <w:r w:rsidRPr="005A31D7">
        <w:rPr>
          <w:rFonts w:ascii="Times New Roman" w:hAnsi="Times New Roman" w:cs="Times New Roman"/>
          <w:b/>
          <w:bCs/>
          <w:i w:val="0"/>
          <w:iCs w:val="0"/>
          <w:color w:val="auto"/>
          <w:sz w:val="24"/>
          <w:szCs w:val="24"/>
          <w:lang w:val="es-CO"/>
        </w:rPr>
        <w:instrText xml:space="preserve"> SEQ Figura \* ARABIC </w:instrText>
      </w:r>
      <w:r w:rsidRPr="005A31D7">
        <w:rPr>
          <w:rFonts w:ascii="Times New Roman" w:hAnsi="Times New Roman" w:cs="Times New Roman"/>
          <w:b/>
          <w:bCs/>
          <w:i w:val="0"/>
          <w:iCs w:val="0"/>
          <w:color w:val="auto"/>
          <w:sz w:val="24"/>
          <w:szCs w:val="24"/>
          <w:lang w:val="es-CO"/>
        </w:rPr>
        <w:fldChar w:fldCharType="separate"/>
      </w:r>
      <w:r w:rsidR="00521AC0" w:rsidRPr="005A31D7">
        <w:rPr>
          <w:rFonts w:ascii="Times New Roman" w:hAnsi="Times New Roman" w:cs="Times New Roman"/>
          <w:b/>
          <w:bCs/>
          <w:i w:val="0"/>
          <w:iCs w:val="0"/>
          <w:noProof/>
          <w:color w:val="auto"/>
          <w:sz w:val="24"/>
          <w:szCs w:val="24"/>
          <w:lang w:val="es-CO"/>
        </w:rPr>
        <w:t>10</w:t>
      </w:r>
      <w:r w:rsidRPr="005A31D7">
        <w:rPr>
          <w:rFonts w:ascii="Times New Roman" w:hAnsi="Times New Roman" w:cs="Times New Roman"/>
          <w:b/>
          <w:bCs/>
          <w:i w:val="0"/>
          <w:iCs w:val="0"/>
          <w:color w:val="auto"/>
          <w:sz w:val="24"/>
          <w:szCs w:val="24"/>
          <w:lang w:val="es-CO"/>
        </w:rPr>
        <w:fldChar w:fldCharType="end"/>
      </w:r>
      <w:r w:rsidRPr="005A31D7">
        <w:rPr>
          <w:rFonts w:ascii="Times New Roman" w:hAnsi="Times New Roman" w:cs="Times New Roman"/>
          <w:b/>
          <w:bCs/>
          <w:i w:val="0"/>
          <w:iCs w:val="0"/>
          <w:color w:val="auto"/>
          <w:sz w:val="24"/>
          <w:szCs w:val="24"/>
          <w:lang w:val="es-CO"/>
        </w:rPr>
        <w:t>.</w:t>
      </w:r>
      <w:r w:rsidRPr="005A31D7">
        <w:rPr>
          <w:rFonts w:ascii="Times New Roman" w:hAnsi="Times New Roman" w:cs="Times New Roman"/>
          <w:color w:val="auto"/>
          <w:sz w:val="24"/>
          <w:szCs w:val="24"/>
          <w:lang w:val="es-CO"/>
        </w:rPr>
        <w:br/>
        <w:t>Solicitudes de patentes en el área de Biotecnología en Santander</w:t>
      </w:r>
      <w:bookmarkEnd w:id="12"/>
    </w:p>
    <w:p w14:paraId="55E27567" w14:textId="599BDAF7" w:rsidR="00327D59" w:rsidRPr="005A31D7" w:rsidRDefault="00327D59" w:rsidP="00327D59">
      <w:pPr>
        <w:spacing w:line="480" w:lineRule="auto"/>
        <w:jc w:val="both"/>
        <w:rPr>
          <w:rFonts w:ascii="Times New Roman" w:hAnsi="Times New Roman" w:cs="Times New Roman"/>
          <w:sz w:val="24"/>
          <w:szCs w:val="24"/>
          <w:lang w:val="es-CO"/>
        </w:rPr>
      </w:pPr>
      <w:r w:rsidRPr="005A31D7">
        <w:rPr>
          <w:rFonts w:ascii="Times New Roman" w:hAnsi="Times New Roman" w:cs="Times New Roman"/>
          <w:noProof/>
          <w:sz w:val="24"/>
          <w:szCs w:val="24"/>
          <w:lang w:val="es-CO"/>
        </w:rPr>
        <w:drawing>
          <wp:inline distT="0" distB="0" distL="0" distR="0" wp14:anchorId="299E1855" wp14:editId="2B1E9359">
            <wp:extent cx="5943600" cy="1964690"/>
            <wp:effectExtent l="0" t="0" r="0" b="0"/>
            <wp:docPr id="588386835" name="Imagen 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386835" name="Imagen 1" descr="Gráfico, Gráfico de barras&#10;&#10;Descripción generada automáticamente"/>
                    <pic:cNvPicPr/>
                  </pic:nvPicPr>
                  <pic:blipFill>
                    <a:blip r:embed="rId17"/>
                    <a:stretch>
                      <a:fillRect/>
                    </a:stretch>
                  </pic:blipFill>
                  <pic:spPr>
                    <a:xfrm>
                      <a:off x="0" y="0"/>
                      <a:ext cx="5943600" cy="1964690"/>
                    </a:xfrm>
                    <a:prstGeom prst="rect">
                      <a:avLst/>
                    </a:prstGeom>
                  </pic:spPr>
                </pic:pic>
              </a:graphicData>
            </a:graphic>
          </wp:inline>
        </w:drawing>
      </w:r>
    </w:p>
    <w:p w14:paraId="4B2C2A8B" w14:textId="0D1F701B" w:rsidR="00327D59" w:rsidRPr="005A31D7" w:rsidRDefault="00327D59" w:rsidP="00327D59">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En Santander, la biotecnología siguió un ritmo de crecimiento más contenido que el nacional, pero igualmente revelador de un ecosistema en construcción. Entre 2008 y 2011, apenas se registró una patente por año, indicador de un inicio muy incipiente en investigación biotecnológica. A partir de 2012 el sector cobró algo de fuerza con dos solicitudes, cifra que se mantuvo estable hasta 2018, mostrando un avance paulatino en capacidades de laboratorio y el surgimiento de grupos de trabajo en biomateriales y procesos fermentativos. El año 2019 marcó el </w:t>
      </w:r>
      <w:r w:rsidRPr="005A31D7">
        <w:rPr>
          <w:rFonts w:ascii="Times New Roman" w:hAnsi="Times New Roman" w:cs="Times New Roman"/>
          <w:sz w:val="24"/>
          <w:szCs w:val="24"/>
          <w:lang w:val="es-CO"/>
        </w:rPr>
        <w:lastRenderedPageBreak/>
        <w:t xml:space="preserve">primer gran impulso local con tres patentes, preludio de un renovado interés que volvió a reflejarse en 2021 y 2022 con dos y tres registros respectivamente, coincidiendo con las políticas de bioeconomía regional y el “efecto rebote” post-COVID en proyectos de diagnóstico molecular y producción de bioinsumos. En 2024, la cifra retrocedió a una sola solicitud, lo cual resalta la volatilidad del sector ante la falta de apoyos continuos. Geográficamente, Bucaramanga concentra el 77 % de las patentes biotecnológicas santeñas (13 de 17), seguida por San Gil (3) y Barrancabermeja (1), lo que evidencia una marcada centralización urbana. </w:t>
      </w:r>
      <w:r w:rsidR="00145772" w:rsidRPr="005A31D7">
        <w:rPr>
          <w:rFonts w:ascii="Times New Roman" w:hAnsi="Times New Roman" w:cs="Times New Roman"/>
          <w:sz w:val="24"/>
          <w:szCs w:val="24"/>
          <w:lang w:val="es-CO"/>
        </w:rPr>
        <w:t>Al igual que en las áreas anteriores, p</w:t>
      </w:r>
      <w:r w:rsidRPr="005A31D7">
        <w:rPr>
          <w:rFonts w:ascii="Times New Roman" w:hAnsi="Times New Roman" w:cs="Times New Roman"/>
          <w:sz w:val="24"/>
          <w:szCs w:val="24"/>
          <w:lang w:val="es-CO"/>
        </w:rPr>
        <w:t>ara consolidar y diversificar estos avances, Santander debería fortalecer redes de colaboración entre la Universidad Industrial de Santander y centros de investigación en el interior del departamento, potenciar laboratorios de bioseguridad en municipios satélite, y diseñar convocatorias que integren la biotecnología agroindustrial local con clústeres de empresas y organismos de fomento. De este modo, la provincia podría transformar los picos aislados en un crecimiento sostenido y alineado con la dinámica nacional de la biotecnología.</w:t>
      </w:r>
    </w:p>
    <w:p w14:paraId="764F9180" w14:textId="20EA6036" w:rsidR="00145772" w:rsidRPr="005A31D7" w:rsidRDefault="00145772" w:rsidP="00521AC0">
      <w:pPr>
        <w:pStyle w:val="Ttulo1"/>
        <w:numPr>
          <w:ilvl w:val="0"/>
          <w:numId w:val="5"/>
        </w:numPr>
        <w:rPr>
          <w:rFonts w:cs="Times New Roman"/>
          <w:szCs w:val="24"/>
          <w:lang w:val="es-CO"/>
        </w:rPr>
      </w:pPr>
      <w:bookmarkStart w:id="13" w:name="_Toc204730256"/>
      <w:r w:rsidRPr="005A31D7">
        <w:rPr>
          <w:rFonts w:cs="Times New Roman"/>
          <w:szCs w:val="24"/>
          <w:lang w:val="es-CO"/>
        </w:rPr>
        <w:t>Síntesis de hallazgos de la revisión de patentes en el sector salud</w:t>
      </w:r>
      <w:bookmarkEnd w:id="13"/>
    </w:p>
    <w:p w14:paraId="5A79BD4D" w14:textId="77777777" w:rsidR="00145772" w:rsidRPr="005A31D7" w:rsidRDefault="00145772" w:rsidP="00145772">
      <w:pPr>
        <w:rPr>
          <w:rFonts w:ascii="Times New Roman" w:hAnsi="Times New Roman" w:cs="Times New Roman"/>
          <w:sz w:val="24"/>
          <w:szCs w:val="24"/>
          <w:lang w:val="es-CO"/>
        </w:rPr>
      </w:pPr>
    </w:p>
    <w:p w14:paraId="1D40AEC6" w14:textId="1B7937BB" w:rsidR="00145772" w:rsidRPr="005A31D7" w:rsidRDefault="00145772" w:rsidP="0014577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La revisión de las estadísticas de propiedad industrial en Colombia revela un panorama de innovación que, tras un crecimiento sostenido desde inicios de siglo, alcanzó un punto máximo en 2021 con más de 1 100 solicitudes anuales y experimentó un espectacular “rebote” en 2022 relacionado con la pandemia de COVID-19. Entre 2000 y 2015, el volumen de solicitudes creció de forma gradual, impulsado por el fortalecimiento del Sistema Nacional de Ciencia, Tecnología e Innovación (Ley 1286 de 2009. Los tratados de libre comercio con Estados Unidos y la Unión Europea (2012–2013) ofrecieron nuevos incentivos para la protección intelectual, mientras que la crisis petrolera de 2014–2015 moderó temporalmente el ritmo. La irrupción del COVID-19 en 2020 cortó momentáneamente la curva, pero al año siguiente se acumuló la presentación de </w:t>
      </w:r>
      <w:r w:rsidRPr="005A31D7">
        <w:rPr>
          <w:rFonts w:ascii="Times New Roman" w:hAnsi="Times New Roman" w:cs="Times New Roman"/>
          <w:sz w:val="24"/>
          <w:szCs w:val="24"/>
          <w:lang w:val="es-CO"/>
        </w:rPr>
        <w:lastRenderedPageBreak/>
        <w:t>expedientes y se amplió el foco hacia tecnologías diagnósticas, dispositivos de protección y soluciones de telemedicina, resultando en un volumen récord.</w:t>
      </w:r>
    </w:p>
    <w:p w14:paraId="51184314" w14:textId="77777777" w:rsidR="00145772" w:rsidRPr="005A31D7" w:rsidRDefault="00145772" w:rsidP="0014577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En el nivel regional, Santander sigue la misma pauta general, aunque con magnitudes menores. Durante los primeros quince años, sus solicitudes anuales rara vez superaron la decena, reflejando un ecosistema incipiente con capacidades emergentes en química, mecánica e instrumentación. El salto de 2016, con 46 registros, marcó un quiebre local similar al nacional, pero la pandemia de 2020 provocó una caída a 26 solicitudes. El repunte en 2022 casi duplicó la cifra previa (63 solicitudes), evidenciando la adaptación de la comunidad tecnológica santeña a la emergencia sanitaria y la recuperación de los proyectos pendientes. La estabilización a niveles de 10–12 solicitudes en 2023–2024 sugiere la necesidad de estímulos permanentes para mantener un ritmo de innovación comparable al de los polos más grandes del país.</w:t>
      </w:r>
    </w:p>
    <w:p w14:paraId="5C38F13B" w14:textId="77777777" w:rsidR="00145772" w:rsidRPr="005A31D7" w:rsidRDefault="00145772" w:rsidP="0014577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La desagregación por sectores tecnológicos muestra que, en el ámbito nacional, la química lidera con el 29 % de las patentes, seguida de la ingeniería mecánica (25 %), la instrumentación (18 %) —donde la instrumentación médica aporta 742 solicitudes— y la electricidad/electrónica (12 %). Tecnologías verdes y TIC, prácticamente inexistentes antes de 2010, crecieron a picos superiores a 80 y 60 solicitudes en 2022. Santander mantiene una composición similar: de sus 464 solicitudes totales hasta 2024, 177 corresponden a química aplicada, 116 a ingeniería mecánica, 84 a instrumentación y 65 a electricidad/electrónica, con una participación emergente de verdes (92) y TIC (43) tras 2015.</w:t>
      </w:r>
    </w:p>
    <w:p w14:paraId="6C792E3F" w14:textId="77777777" w:rsidR="00145772" w:rsidRPr="005A31D7" w:rsidRDefault="00145772" w:rsidP="0014577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 xml:space="preserve">Dentro del subsector sanitario, la evolución de la instrumentación médica nacional pasó de menos de diez registros anuales en la primera década a 46 en 2016 y a un máximo de 152 en 2022, antes de regresar a niveles cercanos a 35 en 2023–2024. Santander reflejó este ciclo a menor escala: una solicitud anual hasta 2013, un despegue entre 2016 y 2018, una merma en 2020 y un rebote </w:t>
      </w:r>
      <w:r w:rsidRPr="005A31D7">
        <w:rPr>
          <w:rFonts w:ascii="Times New Roman" w:hAnsi="Times New Roman" w:cs="Times New Roman"/>
          <w:sz w:val="24"/>
          <w:szCs w:val="24"/>
          <w:lang w:val="es-CO"/>
        </w:rPr>
        <w:lastRenderedPageBreak/>
        <w:t>en 2022 con nueve patentes, concentradas en Bucaramanga. El sector farmacéutico nacional creció de tres solicitudes en 2002 a 32 en 2016, con oscilaciones pandémicas y un retorno a 18 registros en 2023–2024; en Santander, los picos de seis solicitudes en 2017 y de dos en 2021 contrastan con años de apenas una presentación. La biotecnología exhibe un comportamiento paralelo: un aumento sostenido desde 2015–2017 (11–18 patentes) hasta un tope de 44 en 2023, estabilizándose en 16 en 2024, mientras que Santander alcanzó tres patentes en 2019 y 2022, con el 77 % de ellas en Bucaramanga.</w:t>
      </w:r>
    </w:p>
    <w:p w14:paraId="6CFB231E" w14:textId="77DD2723" w:rsidR="00145772" w:rsidRPr="005A31D7" w:rsidRDefault="00145772" w:rsidP="00145772">
      <w:pPr>
        <w:spacing w:line="480" w:lineRule="auto"/>
        <w:ind w:firstLine="720"/>
        <w:jc w:val="both"/>
        <w:rPr>
          <w:rFonts w:ascii="Times New Roman" w:hAnsi="Times New Roman" w:cs="Times New Roman"/>
          <w:sz w:val="24"/>
          <w:szCs w:val="24"/>
          <w:lang w:val="es-CO"/>
        </w:rPr>
      </w:pPr>
      <w:r w:rsidRPr="005A31D7">
        <w:rPr>
          <w:rFonts w:ascii="Times New Roman" w:hAnsi="Times New Roman" w:cs="Times New Roman"/>
          <w:sz w:val="24"/>
          <w:szCs w:val="24"/>
          <w:lang w:val="es-CO"/>
        </w:rPr>
        <w:t>Estos patrones confirman que las políticas de Estado y las crisis (económica de 2014–15, COVID-19) no solo alteran momentáneamente las cifras, sino que reorientan durablemente las prioridades de investigación hacia la salud pública, la sostenibilidad y la digitalización. En Santander, la dependencia de estímulos puntuales y la centralización urbana limitan la consolidación de un ecosistema firme. Es imperativo fomentar alianzas público–privadas, programas de cofinanciación y convenios universidad–empresa que incentiven proyectos de biotecnología agroindustrial, software médico y micro/nanotecnologías de diagnóstico. De igual modo, la creación de incubadoras regionales y la extensión de laboratorios especializados a municipios intermedios fortalecerán la resiliencia local. Solo así se convertirá el repunte coyuntural en un crecimiento sostenible, capaz de alinear a Santander con los grandes polos nacionales y de mantener una trayectoria de innovación continua en el sector salud.</w:t>
      </w:r>
    </w:p>
    <w:p w14:paraId="7A335276" w14:textId="1DEF76AD" w:rsidR="00521AC0" w:rsidRDefault="00521AC0" w:rsidP="00145772">
      <w:pPr>
        <w:spacing w:line="480" w:lineRule="auto"/>
        <w:ind w:firstLine="720"/>
        <w:jc w:val="both"/>
        <w:rPr>
          <w:rFonts w:ascii="Times New Roman" w:hAnsi="Times New Roman" w:cs="Times New Roman"/>
          <w:sz w:val="24"/>
          <w:szCs w:val="24"/>
          <w:lang w:val="es-CO"/>
        </w:rPr>
      </w:pPr>
    </w:p>
    <w:p w14:paraId="71241CF4" w14:textId="77777777" w:rsidR="005D7E57" w:rsidRPr="005A31D7" w:rsidRDefault="005D7E57" w:rsidP="00145772">
      <w:pPr>
        <w:spacing w:line="480" w:lineRule="auto"/>
        <w:ind w:firstLine="720"/>
        <w:jc w:val="both"/>
        <w:rPr>
          <w:rFonts w:ascii="Times New Roman" w:hAnsi="Times New Roman" w:cs="Times New Roman"/>
          <w:sz w:val="24"/>
          <w:szCs w:val="24"/>
          <w:lang w:val="es-CO"/>
        </w:rPr>
      </w:pPr>
    </w:p>
    <w:p w14:paraId="06A87D6E" w14:textId="08E08961" w:rsidR="00521AC0" w:rsidRPr="005A31D7" w:rsidRDefault="00521AC0" w:rsidP="00145772">
      <w:pPr>
        <w:spacing w:line="480" w:lineRule="auto"/>
        <w:ind w:firstLine="720"/>
        <w:jc w:val="both"/>
        <w:rPr>
          <w:rFonts w:ascii="Times New Roman" w:hAnsi="Times New Roman" w:cs="Times New Roman"/>
          <w:sz w:val="24"/>
          <w:szCs w:val="24"/>
          <w:lang w:val="es-CO"/>
        </w:rPr>
      </w:pPr>
    </w:p>
    <w:bookmarkStart w:id="14" w:name="_Toc204730257" w:displacedByCustomXml="next"/>
    <w:sdt>
      <w:sdtPr>
        <w:rPr>
          <w:rFonts w:asciiTheme="minorHAnsi" w:eastAsiaTheme="minorHAnsi" w:hAnsiTheme="minorHAnsi" w:cs="Times New Roman"/>
          <w:b w:val="0"/>
          <w:color w:val="44546A" w:themeColor="text2"/>
          <w:sz w:val="18"/>
          <w:szCs w:val="18"/>
          <w:lang w:val="es-CO"/>
        </w:rPr>
        <w:tag w:val="CitaviBibliography"/>
        <w:id w:val="-2106717052"/>
        <w:placeholder>
          <w:docPart w:val="DefaultPlaceholder_-1854013440"/>
        </w:placeholder>
      </w:sdtPr>
      <w:sdtEndPr>
        <w:rPr>
          <w:color w:val="auto"/>
        </w:rPr>
      </w:sdtEndPr>
      <w:sdtContent>
        <w:p w14:paraId="0B7BD7A5" w14:textId="7637C5B5" w:rsidR="009A3AAC" w:rsidRPr="005D7E57" w:rsidRDefault="00C2619C" w:rsidP="00A37F65">
          <w:pPr>
            <w:pStyle w:val="CitaviBibliographyHeading"/>
            <w:spacing w:line="480" w:lineRule="auto"/>
            <w:jc w:val="center"/>
            <w:rPr>
              <w:rFonts w:cs="Times New Roman"/>
              <w:lang w:val="es-CO"/>
            </w:rPr>
          </w:pPr>
          <w:r w:rsidRPr="00C877F2">
            <w:rPr>
              <w:rFonts w:cs="Times New Roman"/>
              <w:lang w:val="es-CO"/>
            </w:rPr>
            <w:t xml:space="preserve">Referencias </w:t>
          </w:r>
          <w:r w:rsidRPr="005D7E57">
            <w:rPr>
              <w:rFonts w:cs="Times New Roman"/>
              <w:lang w:val="es-CO"/>
            </w:rPr>
            <w:fldChar w:fldCharType="begin"/>
          </w:r>
          <w:r w:rsidRPr="005D7E57">
            <w:rPr>
              <w:rFonts w:cs="Times New Roman"/>
              <w:lang w:val="es-CO"/>
            </w:rPr>
            <w:instrText>ADDIN CitaviBibliography</w:instrText>
          </w:r>
          <w:r w:rsidRPr="005D7E57">
            <w:rPr>
              <w:rFonts w:cs="Times New Roman"/>
              <w:lang w:val="es-CO"/>
            </w:rPr>
            <w:fldChar w:fldCharType="separate"/>
          </w:r>
          <w:r w:rsidR="00A37F65" w:rsidRPr="005D7E57">
            <w:rPr>
              <w:rFonts w:cs="Times New Roman"/>
              <w:lang w:val="es-CO"/>
            </w:rPr>
            <w:t>Bibliográficas</w:t>
          </w:r>
          <w:bookmarkEnd w:id="14"/>
          <w:r w:rsidR="005D7E57" w:rsidRPr="005D7E57">
            <w:rPr>
              <w:rFonts w:cs="Times New Roman"/>
              <w:lang w:val="es-CO"/>
            </w:rPr>
            <w:br/>
          </w:r>
        </w:p>
        <w:p w14:paraId="1208E509" w14:textId="77777777" w:rsidR="009A3AAC" w:rsidRPr="005D7E57" w:rsidRDefault="009A3AAC" w:rsidP="00A37F65">
          <w:pPr>
            <w:pStyle w:val="CitaviBibliographyEntry"/>
            <w:spacing w:line="480" w:lineRule="auto"/>
            <w:rPr>
              <w:rFonts w:ascii="Times New Roman" w:hAnsi="Times New Roman" w:cs="Times New Roman"/>
              <w:color w:val="auto"/>
              <w:lang w:val="es-CO"/>
            </w:rPr>
          </w:pPr>
          <w:bookmarkStart w:id="15" w:name="_CTVL0013f056cf33d804b4d9622147fcec7949f"/>
          <w:r w:rsidRPr="005D7E57">
            <w:rPr>
              <w:rFonts w:ascii="Times New Roman" w:hAnsi="Times New Roman" w:cs="Times New Roman"/>
              <w:color w:val="auto"/>
              <w:lang w:val="es-CO"/>
            </w:rPr>
            <w:t>OMPI (2024): Panorama de la Innovación : Patentes y Objetivos de Desarrollo Sostenible.</w:t>
          </w:r>
        </w:p>
        <w:p w14:paraId="4972FDAF" w14:textId="1DE70E38" w:rsidR="00C2619C" w:rsidRPr="005D7E57" w:rsidRDefault="009A3AAC" w:rsidP="00A37F65">
          <w:pPr>
            <w:pStyle w:val="CitaviBibliographyEntry"/>
            <w:spacing w:line="480" w:lineRule="auto"/>
            <w:rPr>
              <w:rFonts w:ascii="Times New Roman" w:hAnsi="Times New Roman" w:cs="Times New Roman"/>
              <w:color w:val="auto"/>
              <w:lang w:val="es-CO"/>
            </w:rPr>
          </w:pPr>
          <w:bookmarkStart w:id="16" w:name="_CTVL001c2e1117921e348afbf8f7ea9c827e56a"/>
          <w:bookmarkEnd w:id="15"/>
          <w:r w:rsidRPr="005D7E57">
            <w:rPr>
              <w:rFonts w:ascii="Times New Roman" w:hAnsi="Times New Roman" w:cs="Times New Roman"/>
              <w:color w:val="auto"/>
              <w:lang w:val="es-CO"/>
            </w:rPr>
            <w:t>SIC (2025): Estadísticas de Propiedad Industrial de Colombia - SIC. Disponible en línea en https://public.tableau.com/app/profile/cigepi/viz/EstadsticasdePropiedadIndustrialdeColombia-SIC/Estadisticas_PI, Última actualización el 18/05/2025, Última comprobación el 20/05/2025</w:t>
          </w:r>
          <w:bookmarkEnd w:id="16"/>
          <w:r w:rsidRPr="005D7E57">
            <w:rPr>
              <w:rFonts w:ascii="Times New Roman" w:hAnsi="Times New Roman" w:cs="Times New Roman"/>
              <w:color w:val="auto"/>
              <w:lang w:val="es-CO"/>
            </w:rPr>
            <w:t>.</w:t>
          </w:r>
          <w:r w:rsidR="00C2619C" w:rsidRPr="005D7E57">
            <w:rPr>
              <w:rFonts w:ascii="Times New Roman" w:hAnsi="Times New Roman" w:cs="Times New Roman"/>
              <w:color w:val="auto"/>
              <w:lang w:val="es-CO"/>
            </w:rPr>
            <w:fldChar w:fldCharType="end"/>
          </w:r>
        </w:p>
      </w:sdtContent>
    </w:sdt>
    <w:p w14:paraId="58EDCF70" w14:textId="77777777" w:rsidR="00C2619C" w:rsidRPr="005A31D7" w:rsidRDefault="00C2619C" w:rsidP="00C2619C">
      <w:pPr>
        <w:rPr>
          <w:rFonts w:ascii="Times New Roman" w:hAnsi="Times New Roman" w:cs="Times New Roman"/>
          <w:sz w:val="24"/>
          <w:szCs w:val="24"/>
          <w:lang w:val="es-CO"/>
        </w:rPr>
      </w:pPr>
    </w:p>
    <w:sectPr w:rsidR="00C2619C" w:rsidRPr="005A31D7">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30286" w14:textId="77777777" w:rsidR="0041070E" w:rsidRDefault="0041070E" w:rsidP="00051F70">
      <w:pPr>
        <w:spacing w:after="0" w:line="240" w:lineRule="auto"/>
      </w:pPr>
      <w:r>
        <w:separator/>
      </w:r>
    </w:p>
  </w:endnote>
  <w:endnote w:type="continuationSeparator" w:id="0">
    <w:p w14:paraId="782ADDE6" w14:textId="77777777" w:rsidR="0041070E" w:rsidRDefault="0041070E" w:rsidP="00051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90D84" w14:textId="77777777" w:rsidR="00051F70" w:rsidRDefault="00051F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F9A4D" w14:textId="77777777" w:rsidR="00051F70" w:rsidRDefault="00051F7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3C68" w14:textId="77777777" w:rsidR="00051F70" w:rsidRDefault="00051F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1FDEB" w14:textId="77777777" w:rsidR="0041070E" w:rsidRDefault="0041070E" w:rsidP="00051F70">
      <w:pPr>
        <w:spacing w:after="0" w:line="240" w:lineRule="auto"/>
      </w:pPr>
      <w:r>
        <w:separator/>
      </w:r>
    </w:p>
  </w:footnote>
  <w:footnote w:type="continuationSeparator" w:id="0">
    <w:p w14:paraId="22936E9E" w14:textId="77777777" w:rsidR="0041070E" w:rsidRDefault="0041070E" w:rsidP="00051F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1987" w14:textId="77777777" w:rsidR="00051F70" w:rsidRDefault="00051F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DB1B0" w14:textId="77777777" w:rsidR="00051F70" w:rsidRDefault="00051F7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342A" w14:textId="77777777" w:rsidR="00051F70" w:rsidRDefault="00051F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D267A"/>
    <w:multiLevelType w:val="hybridMultilevel"/>
    <w:tmpl w:val="905CC0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D329CE"/>
    <w:multiLevelType w:val="hybridMultilevel"/>
    <w:tmpl w:val="18FE0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9608EF"/>
    <w:multiLevelType w:val="hybridMultilevel"/>
    <w:tmpl w:val="D326D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62209E"/>
    <w:multiLevelType w:val="hybridMultilevel"/>
    <w:tmpl w:val="CEC01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05719D"/>
    <w:multiLevelType w:val="hybridMultilevel"/>
    <w:tmpl w:val="B960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C52369"/>
    <w:multiLevelType w:val="hybridMultilevel"/>
    <w:tmpl w:val="01A68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1A340B"/>
    <w:multiLevelType w:val="hybridMultilevel"/>
    <w:tmpl w:val="773845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1033252">
    <w:abstractNumId w:val="6"/>
  </w:num>
  <w:num w:numId="2" w16cid:durableId="821047619">
    <w:abstractNumId w:val="1"/>
  </w:num>
  <w:num w:numId="3" w16cid:durableId="1912812617">
    <w:abstractNumId w:val="5"/>
  </w:num>
  <w:num w:numId="4" w16cid:durableId="1100683662">
    <w:abstractNumId w:val="0"/>
  </w:num>
  <w:num w:numId="5" w16cid:durableId="2104372972">
    <w:abstractNumId w:val="3"/>
  </w:num>
  <w:num w:numId="6" w16cid:durableId="462315495">
    <w:abstractNumId w:val="4"/>
  </w:num>
  <w:num w:numId="7" w16cid:durableId="20262492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383"/>
    <w:rsid w:val="00051F70"/>
    <w:rsid w:val="000A201F"/>
    <w:rsid w:val="000C2460"/>
    <w:rsid w:val="00145772"/>
    <w:rsid w:val="00260EF7"/>
    <w:rsid w:val="00327D59"/>
    <w:rsid w:val="0041070E"/>
    <w:rsid w:val="00491015"/>
    <w:rsid w:val="004F1587"/>
    <w:rsid w:val="00512536"/>
    <w:rsid w:val="00520D87"/>
    <w:rsid w:val="00521AC0"/>
    <w:rsid w:val="005A31D7"/>
    <w:rsid w:val="005D7E57"/>
    <w:rsid w:val="00643EB2"/>
    <w:rsid w:val="00707481"/>
    <w:rsid w:val="0072488B"/>
    <w:rsid w:val="007F788E"/>
    <w:rsid w:val="008101D4"/>
    <w:rsid w:val="0086213A"/>
    <w:rsid w:val="009A3AAC"/>
    <w:rsid w:val="009F646D"/>
    <w:rsid w:val="00A37F65"/>
    <w:rsid w:val="00AE282E"/>
    <w:rsid w:val="00AE6434"/>
    <w:rsid w:val="00BE017C"/>
    <w:rsid w:val="00C2619C"/>
    <w:rsid w:val="00C877F2"/>
    <w:rsid w:val="00CA6BA0"/>
    <w:rsid w:val="00E455B8"/>
    <w:rsid w:val="00E77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D4DE"/>
  <w15:chartTrackingRefBased/>
  <w15:docId w15:val="{A69BFB99-240A-4E9A-B485-85B1D5AE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21AC0"/>
    <w:pPr>
      <w:keepNext/>
      <w:keepLines/>
      <w:spacing w:before="240" w:after="0"/>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unhideWhenUsed/>
    <w:qFormat/>
    <w:rsid w:val="00145772"/>
    <w:pPr>
      <w:keepNext/>
      <w:keepLines/>
      <w:spacing w:before="40" w:after="0"/>
      <w:outlineLvl w:val="1"/>
    </w:pPr>
    <w:rPr>
      <w:rFonts w:ascii="Times New Roman" w:eastAsiaTheme="majorEastAsia" w:hAnsi="Times New Roman" w:cstheme="majorBidi"/>
      <w:b/>
      <w:sz w:val="24"/>
      <w:szCs w:val="26"/>
    </w:rPr>
  </w:style>
  <w:style w:type="paragraph" w:styleId="Ttulo3">
    <w:name w:val="heading 3"/>
    <w:basedOn w:val="Normal"/>
    <w:next w:val="Normal"/>
    <w:link w:val="Ttulo3Car"/>
    <w:uiPriority w:val="9"/>
    <w:semiHidden/>
    <w:unhideWhenUsed/>
    <w:qFormat/>
    <w:rsid w:val="00C261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C2619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C2619C"/>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C2619C"/>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C2619C"/>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C2619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2619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link w:val="DescripcinCar"/>
    <w:uiPriority w:val="35"/>
    <w:semiHidden/>
    <w:unhideWhenUsed/>
    <w:qFormat/>
    <w:rsid w:val="00051F70"/>
    <w:pPr>
      <w:spacing w:after="200" w:line="240" w:lineRule="auto"/>
    </w:pPr>
    <w:rPr>
      <w:i/>
      <w:iCs/>
      <w:color w:val="44546A" w:themeColor="text2"/>
      <w:sz w:val="18"/>
      <w:szCs w:val="18"/>
    </w:rPr>
  </w:style>
  <w:style w:type="paragraph" w:styleId="Encabezado">
    <w:name w:val="header"/>
    <w:basedOn w:val="Normal"/>
    <w:link w:val="EncabezadoCar"/>
    <w:uiPriority w:val="99"/>
    <w:unhideWhenUsed/>
    <w:rsid w:val="00051F70"/>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051F70"/>
  </w:style>
  <w:style w:type="paragraph" w:styleId="Piedepgina">
    <w:name w:val="footer"/>
    <w:basedOn w:val="Normal"/>
    <w:link w:val="PiedepginaCar"/>
    <w:uiPriority w:val="99"/>
    <w:unhideWhenUsed/>
    <w:rsid w:val="00051F70"/>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051F70"/>
  </w:style>
  <w:style w:type="paragraph" w:styleId="Tabladeilustraciones">
    <w:name w:val="table of figures"/>
    <w:basedOn w:val="Normal"/>
    <w:next w:val="Normal"/>
    <w:uiPriority w:val="99"/>
    <w:unhideWhenUsed/>
    <w:rsid w:val="008101D4"/>
    <w:pPr>
      <w:spacing w:after="0"/>
    </w:pPr>
  </w:style>
  <w:style w:type="character" w:styleId="Hipervnculo">
    <w:name w:val="Hyperlink"/>
    <w:basedOn w:val="Fuentedeprrafopredeter"/>
    <w:uiPriority w:val="99"/>
    <w:unhideWhenUsed/>
    <w:rsid w:val="008101D4"/>
    <w:rPr>
      <w:color w:val="0563C1" w:themeColor="hyperlink"/>
      <w:u w:val="single"/>
    </w:rPr>
  </w:style>
  <w:style w:type="character" w:customStyle="1" w:styleId="Ttulo2Car">
    <w:name w:val="Título 2 Car"/>
    <w:basedOn w:val="Fuentedeprrafopredeter"/>
    <w:link w:val="Ttulo2"/>
    <w:uiPriority w:val="9"/>
    <w:rsid w:val="00145772"/>
    <w:rPr>
      <w:rFonts w:ascii="Times New Roman" w:eastAsiaTheme="majorEastAsia" w:hAnsi="Times New Roman" w:cstheme="majorBidi"/>
      <w:b/>
      <w:sz w:val="24"/>
      <w:szCs w:val="26"/>
    </w:rPr>
  </w:style>
  <w:style w:type="paragraph" w:styleId="Prrafodelista">
    <w:name w:val="List Paragraph"/>
    <w:basedOn w:val="Normal"/>
    <w:uiPriority w:val="34"/>
    <w:qFormat/>
    <w:rsid w:val="00521AC0"/>
    <w:pPr>
      <w:ind w:left="720"/>
      <w:contextualSpacing/>
    </w:pPr>
  </w:style>
  <w:style w:type="character" w:customStyle="1" w:styleId="Ttulo1Car">
    <w:name w:val="Título 1 Car"/>
    <w:basedOn w:val="Fuentedeprrafopredeter"/>
    <w:link w:val="Ttulo1"/>
    <w:uiPriority w:val="9"/>
    <w:rsid w:val="00521AC0"/>
    <w:rPr>
      <w:rFonts w:ascii="Times New Roman" w:eastAsiaTheme="majorEastAsia" w:hAnsi="Times New Roman" w:cstheme="majorBidi"/>
      <w:b/>
      <w:sz w:val="24"/>
      <w:szCs w:val="32"/>
    </w:rPr>
  </w:style>
  <w:style w:type="character" w:styleId="Textodelmarcadordeposicin">
    <w:name w:val="Placeholder Text"/>
    <w:basedOn w:val="Fuentedeprrafopredeter"/>
    <w:uiPriority w:val="99"/>
    <w:semiHidden/>
    <w:rsid w:val="00C2619C"/>
    <w:rPr>
      <w:color w:val="808080"/>
    </w:rPr>
  </w:style>
  <w:style w:type="paragraph" w:customStyle="1" w:styleId="CitaviBibliographyEntry">
    <w:name w:val="Citavi Bibliography Entry"/>
    <w:basedOn w:val="Normal"/>
    <w:link w:val="CitaviBibliographyEntryCar"/>
    <w:uiPriority w:val="99"/>
    <w:rsid w:val="00C2619C"/>
    <w:pPr>
      <w:tabs>
        <w:tab w:val="left" w:pos="720"/>
      </w:tabs>
      <w:spacing w:after="0"/>
      <w:ind w:left="720" w:hanging="720"/>
    </w:pPr>
    <w:rPr>
      <w:color w:val="44546A" w:themeColor="text2"/>
      <w:sz w:val="18"/>
      <w:szCs w:val="18"/>
    </w:rPr>
  </w:style>
  <w:style w:type="character" w:customStyle="1" w:styleId="DescripcinCar">
    <w:name w:val="Descripción Car"/>
    <w:basedOn w:val="Fuentedeprrafopredeter"/>
    <w:link w:val="Descripcin"/>
    <w:uiPriority w:val="35"/>
    <w:semiHidden/>
    <w:rsid w:val="00C2619C"/>
    <w:rPr>
      <w:i/>
      <w:iCs/>
      <w:color w:val="44546A" w:themeColor="text2"/>
      <w:sz w:val="18"/>
      <w:szCs w:val="18"/>
    </w:rPr>
  </w:style>
  <w:style w:type="character" w:customStyle="1" w:styleId="CitaviBibliographyEntryCar">
    <w:name w:val="Citavi Bibliography Entry Car"/>
    <w:basedOn w:val="DescripcinCar"/>
    <w:link w:val="CitaviBibliographyEntry"/>
    <w:uiPriority w:val="99"/>
    <w:rsid w:val="00C2619C"/>
    <w:rPr>
      <w:i w:val="0"/>
      <w:iCs w:val="0"/>
      <w:color w:val="44546A" w:themeColor="text2"/>
      <w:sz w:val="18"/>
      <w:szCs w:val="18"/>
    </w:rPr>
  </w:style>
  <w:style w:type="paragraph" w:customStyle="1" w:styleId="CitaviBibliographyHeading">
    <w:name w:val="Citavi Bibliography Heading"/>
    <w:basedOn w:val="Ttulo1"/>
    <w:link w:val="CitaviBibliographyHeadingCar"/>
    <w:uiPriority w:val="99"/>
    <w:rsid w:val="00C2619C"/>
  </w:style>
  <w:style w:type="character" w:customStyle="1" w:styleId="CitaviBibliographyHeadingCar">
    <w:name w:val="Citavi Bibliography Heading Car"/>
    <w:basedOn w:val="DescripcinCar"/>
    <w:link w:val="CitaviBibliographyHeading"/>
    <w:uiPriority w:val="99"/>
    <w:rsid w:val="00C2619C"/>
    <w:rPr>
      <w:rFonts w:ascii="Times New Roman" w:eastAsiaTheme="majorEastAsia" w:hAnsi="Times New Roman" w:cstheme="majorBidi"/>
      <w:b/>
      <w:i w:val="0"/>
      <w:iCs w:val="0"/>
      <w:color w:val="44546A" w:themeColor="text2"/>
      <w:sz w:val="24"/>
      <w:szCs w:val="32"/>
    </w:rPr>
  </w:style>
  <w:style w:type="paragraph" w:customStyle="1" w:styleId="CitaviChapterBibliographyHeading">
    <w:name w:val="Citavi Chapter Bibliography Heading"/>
    <w:basedOn w:val="Ttulo2"/>
    <w:link w:val="CitaviChapterBibliographyHeadingCar"/>
    <w:uiPriority w:val="99"/>
    <w:rsid w:val="00C2619C"/>
  </w:style>
  <w:style w:type="character" w:customStyle="1" w:styleId="CitaviChapterBibliographyHeadingCar">
    <w:name w:val="Citavi Chapter Bibliography Heading Car"/>
    <w:basedOn w:val="DescripcinCar"/>
    <w:link w:val="CitaviChapterBibliographyHeading"/>
    <w:uiPriority w:val="99"/>
    <w:rsid w:val="00C2619C"/>
    <w:rPr>
      <w:rFonts w:ascii="Times New Roman" w:eastAsiaTheme="majorEastAsia" w:hAnsi="Times New Roman" w:cstheme="majorBidi"/>
      <w:b/>
      <w:i w:val="0"/>
      <w:iCs w:val="0"/>
      <w:color w:val="44546A" w:themeColor="text2"/>
      <w:sz w:val="24"/>
      <w:szCs w:val="26"/>
    </w:rPr>
  </w:style>
  <w:style w:type="paragraph" w:customStyle="1" w:styleId="CitaviBibliographySubheading1">
    <w:name w:val="Citavi Bibliography Subheading 1"/>
    <w:basedOn w:val="Ttulo2"/>
    <w:link w:val="CitaviBibliographySubheading1Car"/>
    <w:uiPriority w:val="99"/>
    <w:rsid w:val="00C2619C"/>
    <w:pPr>
      <w:spacing w:line="360" w:lineRule="auto"/>
      <w:ind w:firstLine="720"/>
      <w:jc w:val="both"/>
      <w:outlineLvl w:val="9"/>
    </w:pPr>
    <w:rPr>
      <w:rFonts w:cs="Times New Roman"/>
      <w:i/>
      <w:iCs/>
      <w:color w:val="44546A" w:themeColor="text2"/>
      <w:szCs w:val="24"/>
      <w:lang w:val="es-CO"/>
    </w:rPr>
  </w:style>
  <w:style w:type="character" w:customStyle="1" w:styleId="CitaviBibliographySubheading1Car">
    <w:name w:val="Citavi Bibliography Subheading 1 Car"/>
    <w:basedOn w:val="DescripcinCar"/>
    <w:link w:val="CitaviBibliographySubheading1"/>
    <w:uiPriority w:val="99"/>
    <w:rsid w:val="00C2619C"/>
    <w:rPr>
      <w:rFonts w:ascii="Times New Roman" w:eastAsiaTheme="majorEastAsia" w:hAnsi="Times New Roman" w:cs="Times New Roman"/>
      <w:b/>
      <w:i/>
      <w:iCs/>
      <w:color w:val="44546A" w:themeColor="text2"/>
      <w:sz w:val="24"/>
      <w:szCs w:val="24"/>
      <w:lang w:val="es-CO"/>
    </w:rPr>
  </w:style>
  <w:style w:type="paragraph" w:customStyle="1" w:styleId="CitaviBibliographySubheading2">
    <w:name w:val="Citavi Bibliography Subheading 2"/>
    <w:basedOn w:val="Ttulo3"/>
    <w:link w:val="CitaviBibliographySubheading2Car"/>
    <w:uiPriority w:val="99"/>
    <w:rsid w:val="00C2619C"/>
    <w:pPr>
      <w:spacing w:line="360" w:lineRule="auto"/>
      <w:ind w:firstLine="720"/>
      <w:jc w:val="both"/>
      <w:outlineLvl w:val="9"/>
    </w:pPr>
    <w:rPr>
      <w:rFonts w:ascii="Times New Roman" w:hAnsi="Times New Roman" w:cs="Times New Roman"/>
      <w:i/>
      <w:iCs/>
      <w:lang w:val="es-CO"/>
    </w:rPr>
  </w:style>
  <w:style w:type="character" w:customStyle="1" w:styleId="CitaviBibliographySubheading2Car">
    <w:name w:val="Citavi Bibliography Subheading 2 Car"/>
    <w:basedOn w:val="DescripcinCar"/>
    <w:link w:val="CitaviBibliographySubheading2"/>
    <w:uiPriority w:val="99"/>
    <w:rsid w:val="00C2619C"/>
    <w:rPr>
      <w:rFonts w:ascii="Times New Roman" w:eastAsiaTheme="majorEastAsia" w:hAnsi="Times New Roman" w:cs="Times New Roman"/>
      <w:i/>
      <w:iCs/>
      <w:color w:val="1F3763" w:themeColor="accent1" w:themeShade="7F"/>
      <w:sz w:val="24"/>
      <w:szCs w:val="24"/>
      <w:lang w:val="es-CO"/>
    </w:rPr>
  </w:style>
  <w:style w:type="character" w:customStyle="1" w:styleId="Ttulo3Car">
    <w:name w:val="Título 3 Car"/>
    <w:basedOn w:val="Fuentedeprrafopredeter"/>
    <w:link w:val="Ttulo3"/>
    <w:uiPriority w:val="9"/>
    <w:semiHidden/>
    <w:rsid w:val="00C2619C"/>
    <w:rPr>
      <w:rFonts w:asciiTheme="majorHAnsi" w:eastAsiaTheme="majorEastAsia" w:hAnsiTheme="majorHAnsi" w:cstheme="majorBidi"/>
      <w:color w:val="1F3763" w:themeColor="accent1" w:themeShade="7F"/>
      <w:sz w:val="24"/>
      <w:szCs w:val="24"/>
    </w:rPr>
  </w:style>
  <w:style w:type="paragraph" w:customStyle="1" w:styleId="CitaviBibliographySubheading3">
    <w:name w:val="Citavi Bibliography Subheading 3"/>
    <w:basedOn w:val="Ttulo4"/>
    <w:link w:val="CitaviBibliographySubheading3Car"/>
    <w:uiPriority w:val="99"/>
    <w:rsid w:val="00C2619C"/>
    <w:pPr>
      <w:spacing w:line="360" w:lineRule="auto"/>
      <w:ind w:firstLine="720"/>
      <w:jc w:val="both"/>
      <w:outlineLvl w:val="9"/>
    </w:pPr>
    <w:rPr>
      <w:rFonts w:ascii="Times New Roman" w:hAnsi="Times New Roman" w:cs="Times New Roman"/>
      <w:i w:val="0"/>
      <w:iCs w:val="0"/>
      <w:sz w:val="24"/>
      <w:szCs w:val="24"/>
      <w:lang w:val="es-CO"/>
    </w:rPr>
  </w:style>
  <w:style w:type="character" w:customStyle="1" w:styleId="CitaviBibliographySubheading3Car">
    <w:name w:val="Citavi Bibliography Subheading 3 Car"/>
    <w:basedOn w:val="DescripcinCar"/>
    <w:link w:val="CitaviBibliographySubheading3"/>
    <w:uiPriority w:val="99"/>
    <w:rsid w:val="00C2619C"/>
    <w:rPr>
      <w:rFonts w:ascii="Times New Roman" w:eastAsiaTheme="majorEastAsia" w:hAnsi="Times New Roman" w:cs="Times New Roman"/>
      <w:i w:val="0"/>
      <w:iCs w:val="0"/>
      <w:color w:val="2F5496" w:themeColor="accent1" w:themeShade="BF"/>
      <w:sz w:val="24"/>
      <w:szCs w:val="24"/>
      <w:lang w:val="es-CO"/>
    </w:rPr>
  </w:style>
  <w:style w:type="character" w:customStyle="1" w:styleId="Ttulo4Car">
    <w:name w:val="Título 4 Car"/>
    <w:basedOn w:val="Fuentedeprrafopredeter"/>
    <w:link w:val="Ttulo4"/>
    <w:uiPriority w:val="9"/>
    <w:semiHidden/>
    <w:rsid w:val="00C2619C"/>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C2619C"/>
    <w:pPr>
      <w:spacing w:line="360" w:lineRule="auto"/>
      <w:ind w:firstLine="720"/>
      <w:jc w:val="both"/>
      <w:outlineLvl w:val="9"/>
    </w:pPr>
    <w:rPr>
      <w:rFonts w:ascii="Times New Roman" w:hAnsi="Times New Roman" w:cs="Times New Roman"/>
      <w:i/>
      <w:iCs/>
      <w:sz w:val="24"/>
      <w:szCs w:val="24"/>
      <w:lang w:val="es-CO"/>
    </w:rPr>
  </w:style>
  <w:style w:type="character" w:customStyle="1" w:styleId="CitaviBibliographySubheading4Car">
    <w:name w:val="Citavi Bibliography Subheading 4 Car"/>
    <w:basedOn w:val="DescripcinCar"/>
    <w:link w:val="CitaviBibliographySubheading4"/>
    <w:uiPriority w:val="99"/>
    <w:rsid w:val="00C2619C"/>
    <w:rPr>
      <w:rFonts w:ascii="Times New Roman" w:eastAsiaTheme="majorEastAsia" w:hAnsi="Times New Roman" w:cs="Times New Roman"/>
      <w:i/>
      <w:iCs/>
      <w:color w:val="2F5496" w:themeColor="accent1" w:themeShade="BF"/>
      <w:sz w:val="24"/>
      <w:szCs w:val="24"/>
      <w:lang w:val="es-CO"/>
    </w:rPr>
  </w:style>
  <w:style w:type="character" w:customStyle="1" w:styleId="Ttulo5Car">
    <w:name w:val="Título 5 Car"/>
    <w:basedOn w:val="Fuentedeprrafopredeter"/>
    <w:link w:val="Ttulo5"/>
    <w:uiPriority w:val="9"/>
    <w:semiHidden/>
    <w:rsid w:val="00C2619C"/>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C2619C"/>
    <w:pPr>
      <w:spacing w:line="360" w:lineRule="auto"/>
      <w:ind w:firstLine="720"/>
      <w:jc w:val="both"/>
      <w:outlineLvl w:val="9"/>
    </w:pPr>
    <w:rPr>
      <w:rFonts w:ascii="Times New Roman" w:hAnsi="Times New Roman" w:cs="Times New Roman"/>
      <w:i/>
      <w:iCs/>
      <w:sz w:val="24"/>
      <w:szCs w:val="24"/>
      <w:lang w:val="es-CO"/>
    </w:rPr>
  </w:style>
  <w:style w:type="character" w:customStyle="1" w:styleId="CitaviBibliographySubheading5Car">
    <w:name w:val="Citavi Bibliography Subheading 5 Car"/>
    <w:basedOn w:val="DescripcinCar"/>
    <w:link w:val="CitaviBibliographySubheading5"/>
    <w:uiPriority w:val="99"/>
    <w:rsid w:val="00C2619C"/>
    <w:rPr>
      <w:rFonts w:ascii="Times New Roman" w:eastAsiaTheme="majorEastAsia" w:hAnsi="Times New Roman" w:cs="Times New Roman"/>
      <w:i/>
      <w:iCs/>
      <w:color w:val="1F3763" w:themeColor="accent1" w:themeShade="7F"/>
      <w:sz w:val="24"/>
      <w:szCs w:val="24"/>
      <w:lang w:val="es-CO"/>
    </w:rPr>
  </w:style>
  <w:style w:type="character" w:customStyle="1" w:styleId="Ttulo6Car">
    <w:name w:val="Título 6 Car"/>
    <w:basedOn w:val="Fuentedeprrafopredeter"/>
    <w:link w:val="Ttulo6"/>
    <w:uiPriority w:val="9"/>
    <w:semiHidden/>
    <w:rsid w:val="00C2619C"/>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C2619C"/>
    <w:pPr>
      <w:spacing w:line="360" w:lineRule="auto"/>
      <w:ind w:firstLine="720"/>
      <w:jc w:val="both"/>
      <w:outlineLvl w:val="9"/>
    </w:pPr>
    <w:rPr>
      <w:rFonts w:ascii="Times New Roman" w:hAnsi="Times New Roman" w:cs="Times New Roman"/>
      <w:i w:val="0"/>
      <w:iCs w:val="0"/>
      <w:sz w:val="24"/>
      <w:szCs w:val="24"/>
      <w:lang w:val="es-CO"/>
    </w:rPr>
  </w:style>
  <w:style w:type="character" w:customStyle="1" w:styleId="CitaviBibliographySubheading6Car">
    <w:name w:val="Citavi Bibliography Subheading 6 Car"/>
    <w:basedOn w:val="DescripcinCar"/>
    <w:link w:val="CitaviBibliographySubheading6"/>
    <w:uiPriority w:val="99"/>
    <w:rsid w:val="00C2619C"/>
    <w:rPr>
      <w:rFonts w:ascii="Times New Roman" w:eastAsiaTheme="majorEastAsia" w:hAnsi="Times New Roman" w:cs="Times New Roman"/>
      <w:i w:val="0"/>
      <w:iCs w:val="0"/>
      <w:color w:val="1F3763" w:themeColor="accent1" w:themeShade="7F"/>
      <w:sz w:val="24"/>
      <w:szCs w:val="24"/>
      <w:lang w:val="es-CO"/>
    </w:rPr>
  </w:style>
  <w:style w:type="character" w:customStyle="1" w:styleId="Ttulo7Car">
    <w:name w:val="Título 7 Car"/>
    <w:basedOn w:val="Fuentedeprrafopredeter"/>
    <w:link w:val="Ttulo7"/>
    <w:uiPriority w:val="9"/>
    <w:semiHidden/>
    <w:rsid w:val="00C2619C"/>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C2619C"/>
    <w:pPr>
      <w:spacing w:line="360" w:lineRule="auto"/>
      <w:ind w:firstLine="720"/>
      <w:jc w:val="both"/>
      <w:outlineLvl w:val="9"/>
    </w:pPr>
    <w:rPr>
      <w:rFonts w:ascii="Times New Roman" w:hAnsi="Times New Roman" w:cs="Times New Roman"/>
      <w:i/>
      <w:iCs/>
      <w:sz w:val="24"/>
      <w:szCs w:val="24"/>
      <w:lang w:val="es-CO"/>
    </w:rPr>
  </w:style>
  <w:style w:type="character" w:customStyle="1" w:styleId="CitaviBibliographySubheading7Car">
    <w:name w:val="Citavi Bibliography Subheading 7 Car"/>
    <w:basedOn w:val="DescripcinCar"/>
    <w:link w:val="CitaviBibliographySubheading7"/>
    <w:uiPriority w:val="99"/>
    <w:rsid w:val="00C2619C"/>
    <w:rPr>
      <w:rFonts w:ascii="Times New Roman" w:eastAsiaTheme="majorEastAsia" w:hAnsi="Times New Roman" w:cs="Times New Roman"/>
      <w:i/>
      <w:iCs/>
      <w:color w:val="272727" w:themeColor="text1" w:themeTint="D8"/>
      <w:sz w:val="24"/>
      <w:szCs w:val="24"/>
      <w:lang w:val="es-CO"/>
    </w:rPr>
  </w:style>
  <w:style w:type="character" w:customStyle="1" w:styleId="Ttulo8Car">
    <w:name w:val="Título 8 Car"/>
    <w:basedOn w:val="Fuentedeprrafopredeter"/>
    <w:link w:val="Ttulo8"/>
    <w:uiPriority w:val="9"/>
    <w:semiHidden/>
    <w:rsid w:val="00C2619C"/>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C2619C"/>
    <w:pPr>
      <w:spacing w:line="360" w:lineRule="auto"/>
      <w:ind w:firstLine="720"/>
      <w:jc w:val="both"/>
      <w:outlineLvl w:val="9"/>
    </w:pPr>
    <w:rPr>
      <w:rFonts w:ascii="Times New Roman" w:hAnsi="Times New Roman" w:cs="Times New Roman"/>
      <w:i w:val="0"/>
      <w:iCs w:val="0"/>
      <w:sz w:val="24"/>
      <w:szCs w:val="24"/>
      <w:lang w:val="es-CO"/>
    </w:rPr>
  </w:style>
  <w:style w:type="character" w:customStyle="1" w:styleId="CitaviBibliographySubheading8Car">
    <w:name w:val="Citavi Bibliography Subheading 8 Car"/>
    <w:basedOn w:val="DescripcinCar"/>
    <w:link w:val="CitaviBibliographySubheading8"/>
    <w:uiPriority w:val="99"/>
    <w:rsid w:val="00C2619C"/>
    <w:rPr>
      <w:rFonts w:ascii="Times New Roman" w:eastAsiaTheme="majorEastAsia" w:hAnsi="Times New Roman" w:cs="Times New Roman"/>
      <w:i w:val="0"/>
      <w:iCs w:val="0"/>
      <w:color w:val="272727" w:themeColor="text1" w:themeTint="D8"/>
      <w:sz w:val="24"/>
      <w:szCs w:val="24"/>
      <w:lang w:val="es-CO"/>
    </w:rPr>
  </w:style>
  <w:style w:type="character" w:customStyle="1" w:styleId="Ttulo9Car">
    <w:name w:val="Título 9 Car"/>
    <w:basedOn w:val="Fuentedeprrafopredeter"/>
    <w:link w:val="Ttulo9"/>
    <w:uiPriority w:val="9"/>
    <w:semiHidden/>
    <w:rsid w:val="00C2619C"/>
    <w:rPr>
      <w:rFonts w:asciiTheme="majorHAnsi" w:eastAsiaTheme="majorEastAsia" w:hAnsiTheme="majorHAnsi" w:cstheme="majorBidi"/>
      <w:i/>
      <w:iCs/>
      <w:color w:val="272727" w:themeColor="text1" w:themeTint="D8"/>
      <w:sz w:val="21"/>
      <w:szCs w:val="21"/>
    </w:rPr>
  </w:style>
  <w:style w:type="paragraph" w:styleId="TtuloTDC">
    <w:name w:val="TOC Heading"/>
    <w:basedOn w:val="Ttulo1"/>
    <w:next w:val="Normal"/>
    <w:uiPriority w:val="39"/>
    <w:unhideWhenUsed/>
    <w:qFormat/>
    <w:rsid w:val="00C2619C"/>
    <w:pPr>
      <w:outlineLvl w:val="9"/>
    </w:pPr>
    <w:rPr>
      <w:rFonts w:asciiTheme="majorHAnsi" w:hAnsiTheme="majorHAnsi"/>
      <w:b w:val="0"/>
      <w:color w:val="2F5496" w:themeColor="accent1" w:themeShade="BF"/>
      <w:kern w:val="0"/>
      <w:sz w:val="32"/>
      <w14:ligatures w14:val="none"/>
    </w:rPr>
  </w:style>
  <w:style w:type="paragraph" w:styleId="TDC1">
    <w:name w:val="toc 1"/>
    <w:basedOn w:val="Normal"/>
    <w:next w:val="Normal"/>
    <w:autoRedefine/>
    <w:uiPriority w:val="39"/>
    <w:unhideWhenUsed/>
    <w:rsid w:val="00C2619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81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BE5DF3A-0D64-4F07-AF01-1E4BCC18611B}"/>
      </w:docPartPr>
      <w:docPartBody>
        <w:p w:rsidR="003519BF" w:rsidRDefault="00FB52B8">
          <w:r w:rsidRPr="0000362B">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2B8"/>
    <w:rsid w:val="003519BF"/>
    <w:rsid w:val="008F69BF"/>
    <w:rsid w:val="00FB5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B52B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89BE4-52C4-485D-8988-384E2F17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23</Pages>
  <Words>6645</Words>
  <Characters>37883</Characters>
  <Application>Microsoft Office Word</Application>
  <DocSecurity>0</DocSecurity>
  <Lines>315</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PAOLA CACERES GOMEZ</cp:lastModifiedBy>
  <cp:revision>17</cp:revision>
  <dcterms:created xsi:type="dcterms:W3CDTF">2025-07-21T00:26:00Z</dcterms:created>
  <dcterms:modified xsi:type="dcterms:W3CDTF">2025-07-30T06:11:00Z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PROYECTO FINAL_LL GRIS_TT_MAYO_2025</vt:lpwstr>
  </property>
  <property fmtid="{D5CDD505-2E9C-101B-9397-08002B2CF9AE}" pid="3" name="CitaviDocumentProperty_0">
    <vt:lpwstr>6a3facce-3db1-42a5-990d-6523dfbe9faf</vt:lpwstr>
  </property>
  <property fmtid="{D5CDD505-2E9C-101B-9397-08002B2CF9AE}" pid="4" name="CitaviDocumentProperty_1">
    <vt:lpwstr>7.0.7.1</vt:lpwstr>
  </property>
  <property fmtid="{D5CDD505-2E9C-101B-9397-08002B2CF9AE}" pid="5" name="CitaviDocumentProperty_6">
    <vt:lpwstr>False</vt:lpwstr>
  </property>
  <property fmtid="{D5CDD505-2E9C-101B-9397-08002B2CF9AE}" pid="6" name="CitaviDocumentProperty_8">
    <vt:lpwstr>C:\Users\Gessi\Documents\Citavi 7\Citavi 7 User Data\Projects\PROYECTO FINAL_LL GRIS_TT_MAYO_2025\PROYECTO FINAL_LL GRIS_TT_MAYO_2025.ctv6</vt:lpwstr>
  </property>
</Properties>
</file>